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0000"/>
          <w:sz w:val="40"/>
          <w:szCs w:val="40"/>
        </w:rPr>
        <w:t xml:space="preserve">Artificial Intelligence Acceptable Use Policy</w:t>
      </w:r>
    </w:p>
    <w:p>
      <w:pPr>
        <w:pBdr>
          <w:bottom w:val="single" w:color="808080" w:sz="12" w:space="6"/>
        </w:pBdr>
        <w:spacing w:after="240"/>
      </w:pPr>
      <w:r>
        <w:rPr>
          <w:rFonts w:ascii="Calibri" w:cs="Calibri" w:eastAsia="Calibri" w:hAnsi="Calibri"/>
          <w:color w:val="595959"/>
          <w:sz w:val="26"/>
          <w:szCs w:val="26"/>
        </w:rPr>
        <w:t xml:space="preserve">&lt;Institution Name&gt;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200"/>
        <w:gridCol w:w="6900"/>
      </w:tblGrid>
      <w:tr>
        <w:tc>
          <w:tcPr>
            <w:tcW w:type="dxa" w:w="22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Policy owner</w:t>
            </w:r>
          </w:p>
        </w:tc>
        <w:tc>
          <w:tcPr>
            <w:tcW w:type="dxa" w:w="6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&lt;AI Governance Owner&gt;</w:t>
            </w:r>
          </w:p>
        </w:tc>
      </w:tr>
      <w:tr>
        <w:tc>
          <w:tcPr>
            <w:tcW w:type="dxa" w:w="22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Approved by</w:t>
            </w:r>
          </w:p>
        </w:tc>
        <w:tc>
          <w:tcPr>
            <w:tcW w:type="dxa" w:w="6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&lt;Approving Body / Title&gt;</w:t>
            </w:r>
          </w:p>
        </w:tc>
      </w:tr>
      <w:tr>
        <w:tc>
          <w:tcPr>
            <w:tcW w:type="dxa" w:w="22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Effective date</w:t>
            </w:r>
          </w:p>
        </w:tc>
        <w:tc>
          <w:tcPr>
            <w:tcW w:type="dxa" w:w="6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&lt;Date&gt;</w:t>
            </w:r>
          </w:p>
        </w:tc>
      </w:tr>
      <w:tr>
        <w:tc>
          <w:tcPr>
            <w:tcW w:type="dxa" w:w="22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Version</w:t>
            </w:r>
          </w:p>
        </w:tc>
        <w:tc>
          <w:tcPr>
            <w:tcW w:type="dxa" w:w="6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1.0</w:t>
            </w:r>
          </w:p>
        </w:tc>
      </w:tr>
      <w:tr>
        <w:tc>
          <w:tcPr>
            <w:tcW w:type="dxa" w:w="22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Review cycle</w:t>
            </w:r>
          </w:p>
        </w:tc>
        <w:tc>
          <w:tcPr>
            <w:tcW w:type="dxa" w:w="6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Annually, or upon material change in law, regulation, or institutional AI deployment</w:t>
            </w:r>
          </w:p>
        </w:tc>
      </w:tr>
      <w:tr>
        <w:tc>
          <w:tcPr>
            <w:tcW w:type="dxa" w:w="22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Applies to</w:t>
            </w:r>
          </w:p>
        </w:tc>
        <w:tc>
          <w:tcPr>
            <w:tcW w:type="dxa" w:w="6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All faculty, staff, students, contractors, affiliates, and volunteers</w:t>
            </w:r>
          </w:p>
        </w:tc>
      </w:tr>
    </w:tbl>
    <w:p>
      <w:pPr>
        <w:spacing w:after="200"/>
      </w:pPr>
    </w:p>
    <w:p>
      <w:pPr>
        <w:pBdr>
          <w:top w:val="single" w:color="A6A6A6" w:sz="4" w:space="8"/>
          <w:bottom w:val="single" w:color="A6A6A6" w:sz="4" w:space="8"/>
          <w:left w:val="single" w:color="A6A6A6" w:sz="4" w:space="8"/>
          <w:right w:val="single" w:color="A6A6A6" w:sz="4" w:space="8"/>
        </w:pBdr>
        <w:spacing w:after="240"/>
      </w:pPr>
      <w:r>
        <w:rPr>
          <w:rFonts w:ascii="Calibri" w:cs="Calibri" w:eastAsia="Calibri" w:hAnsi="Calibri"/>
          <w:b/>
          <w:bCs/>
          <w:color w:val="000000"/>
          <w:sz w:val="20"/>
          <w:szCs w:val="20"/>
        </w:rPr>
        <w:t xml:space="preserve">Template notice. </w:t>
      </w:r>
      <w:r>
        <w:rPr>
          <w:rFonts w:ascii="Calibri" w:cs="Calibri" w:eastAsia="Calibri" w:hAnsi="Calibri"/>
          <w:color w:val="000000"/>
          <w:sz w:val="20"/>
          <w:szCs w:val="20"/>
        </w:rPr>
        <w:t xml:space="preserve">This document is a model policy intended to be adapted to the adopting institution. Bracketed placeholders must be completed, and cross-referenced policies in Section 8 must be confirmed to exist under those names. This template is not legal advice. It should be reviewed by institutional counsel, the registrar, the research compliance office, and the accessibility office before adoption.</w:t>
      </w:r>
    </w:p>
    <w:p>
      <w:pPr>
        <w:pStyle w:val="Heading1"/>
        <w:pBdr>
          <w:bottom w:val="single" w:color="BFBFBF" w:sz="6" w:space="4"/>
        </w:pBdr>
        <w:spacing w:after="140" w:before="320"/>
      </w:pPr>
      <w:r>
        <w:rPr>
          <w:rFonts w:ascii="Calibri" w:cs="Calibri" w:eastAsia="Calibri" w:hAnsi="Calibri"/>
          <w:b/>
          <w:bCs/>
          <w:color w:val="000000"/>
          <w:sz w:val="28"/>
          <w:szCs w:val="28"/>
        </w:rPr>
        <w:t xml:space="preserve">1. Overview</w:t>
      </w:r>
    </w:p>
    <w:p>
      <w:pPr>
        <w:spacing w:after="120" w:line="276"/>
      </w:pPr>
      <w:r>
        <w:rPr>
          <w:rFonts w:ascii="Calibri" w:cs="Calibri" w:eastAsia="Calibri" w:hAnsi="Calibri"/>
          <w:color w:val="000000"/>
          <w:sz w:val="21"/>
          <w:szCs w:val="21"/>
        </w:rPr>
        <w:t xml:space="preserve">&lt;Institution Name&gt; publishes this policy not to restrict a culture of inquiry, openness, and academic freedom, but to protect that culture. Artificial intelligence tools are already in routine use across teaching, research, and administration at institutions of this type, whether or not the institution has formally approved them. Unapproved use is not primarily a discipline problem; it is a governance gap, and gaps are closed with clear rules and usable approved options rather than with prohibitions that move the activity out of view.</w:t>
      </w:r>
    </w:p>
    <w:p>
      <w:pPr>
        <w:spacing w:after="120" w:line="276"/>
      </w:pPr>
      <w:r>
        <w:rPr>
          <w:rFonts w:ascii="Calibri" w:cs="Calibri" w:eastAsia="Calibri" w:hAnsi="Calibri"/>
          <w:color w:val="000000"/>
          <w:sz w:val="21"/>
          <w:szCs w:val="21"/>
        </w:rPr>
        <w:t xml:space="preserve">The most significant AI-related exposure at a university is not a single careless individual. It is the accumulation of procurement and deployment decisions made without a common standard: tools adopted department by department, integrations enabled inside systems the institution already owns, and vendor terms accepted without review. This policy establishes that common standard.</w:t>
      </w:r>
    </w:p>
    <w:p>
      <w:pPr>
        <w:spacing w:after="120" w:line="276"/>
      </w:pPr>
      <w:r>
        <w:rPr>
          <w:rFonts w:ascii="Calibri" w:cs="Calibri" w:eastAsia="Calibri" w:hAnsi="Calibri"/>
          <w:color w:val="000000"/>
          <w:sz w:val="21"/>
          <w:szCs w:val="21"/>
        </w:rPr>
        <w:t xml:space="preserve">Effective governance is a shared effort. Every member of the &lt;Institution Name&gt; community who uses AI tools in connection with institutional work is responsible for knowing these rules and conducting their activities accordingly.</w:t>
      </w:r>
    </w:p>
    <w:p>
      <w:pPr>
        <w:pStyle w:val="Heading1"/>
        <w:pBdr>
          <w:bottom w:val="single" w:color="BFBFBF" w:sz="6" w:space="4"/>
        </w:pBdr>
        <w:spacing w:after="140" w:before="320"/>
      </w:pPr>
      <w:r>
        <w:rPr>
          <w:rFonts w:ascii="Calibri" w:cs="Calibri" w:eastAsia="Calibri" w:hAnsi="Calibri"/>
          <w:b/>
          <w:bCs/>
          <w:color w:val="000000"/>
          <w:sz w:val="28"/>
          <w:szCs w:val="28"/>
        </w:rPr>
        <w:t xml:space="preserve">2. Purpose</w:t>
      </w:r>
    </w:p>
    <w:p>
      <w:pPr>
        <w:spacing w:after="120" w:line="276"/>
      </w:pPr>
      <w:r>
        <w:rPr>
          <w:rFonts w:ascii="Calibri" w:cs="Calibri" w:eastAsia="Calibri" w:hAnsi="Calibri"/>
          <w:color w:val="000000"/>
          <w:sz w:val="21"/>
          <w:szCs w:val="21"/>
        </w:rPr>
        <w:t xml:space="preserve">The purpose of this policy is to define the acceptable use of artificial intelligence tools and systems at &lt;Institution Name&gt;, and to establish the conditions under which institutional data may be used with them.</w:t>
      </w:r>
    </w:p>
    <w:p>
      <w:pPr>
        <w:spacing w:after="120" w:line="276"/>
      </w:pPr>
      <w:r>
        <w:rPr>
          <w:rFonts w:ascii="Calibri" w:cs="Calibri" w:eastAsia="Calibri" w:hAnsi="Calibri"/>
          <w:color w:val="000000"/>
          <w:sz w:val="21"/>
          <w:szCs w:val="21"/>
        </w:rPr>
        <w:t xml:space="preserve">These rules exist to protect students, employees, research participants, and the institution. Unmanaged AI use exposes &lt;Institution Name&gt; to unauthorized disclosure of education records, breach of research sponsor and human-subjects obligations, loss of unpublished intellectual property, discriminatory or inaccurate outcomes in decisions affecting individuals, contractual and regulatory liability, and reputational harm.</w:t>
      </w:r>
    </w:p>
    <w:p>
      <w:pPr>
        <w:spacing w:after="120" w:line="276"/>
      </w:pPr>
      <w:r>
        <w:rPr>
          <w:rFonts w:ascii="Calibri" w:cs="Calibri" w:eastAsia="Calibri" w:hAnsi="Calibri"/>
          <w:color w:val="000000"/>
          <w:sz w:val="21"/>
          <w:szCs w:val="21"/>
        </w:rPr>
        <w:t xml:space="preserve">This policy is intended to operate alongside, and not to replace, the institution's existing acceptable use, data classification, procurement, research compliance, and academic integrity policies.</w:t>
      </w:r>
    </w:p>
    <w:p>
      <w:pPr>
        <w:pStyle w:val="Heading1"/>
        <w:pBdr>
          <w:bottom w:val="single" w:color="BFBFBF" w:sz="6" w:space="4"/>
        </w:pBdr>
        <w:spacing w:after="140" w:before="320"/>
      </w:pPr>
      <w:r>
        <w:rPr>
          <w:rFonts w:ascii="Calibri" w:cs="Calibri" w:eastAsia="Calibri" w:hAnsi="Calibri"/>
          <w:b/>
          <w:bCs/>
          <w:color w:val="000000"/>
          <w:sz w:val="28"/>
          <w:szCs w:val="28"/>
        </w:rPr>
        <w:t xml:space="preserve">3. Scope</w:t>
      </w:r>
    </w:p>
    <w:p>
      <w:pPr>
        <w:spacing w:after="120" w:line="276"/>
      </w:pPr>
      <w:r>
        <w:rPr>
          <w:rFonts w:ascii="Calibri" w:cs="Calibri" w:eastAsia="Calibri" w:hAnsi="Calibri"/>
          <w:color w:val="000000"/>
          <w:sz w:val="21"/>
          <w:szCs w:val="21"/>
        </w:rPr>
        <w:t xml:space="preserve">This policy applies to all use of AI tools to conduct &lt;Institution Name&gt; business, to process institutional data, or to interact with institutional systems, regardless of who owns the device, the network, or the account used.</w:t>
      </w:r>
    </w:p>
    <w:p>
      <w:pPr>
        <w:spacing w:after="120" w:line="276"/>
      </w:pPr>
      <w:r>
        <w:rPr>
          <w:rFonts w:ascii="Calibri" w:cs="Calibri" w:eastAsia="Calibri" w:hAnsi="Calibri"/>
          <w:color w:val="000000"/>
          <w:sz w:val="21"/>
          <w:szCs w:val="21"/>
        </w:rPr>
        <w:t xml:space="preserve">It applies to faculty, staff, students, student employees, contractors, consultants, temporary workers, volunteers, visiting scholars, and affiliates, including personnel of third parties acting on the institution's behalf.</w:t>
      </w:r>
    </w:p>
    <w:p>
      <w:pPr>
        <w:spacing w:after="120" w:line="276"/>
      </w:pPr>
      <w:r>
        <w:rPr>
          <w:rFonts w:ascii="Calibri" w:cs="Calibri" w:eastAsia="Calibri" w:hAnsi="Calibri"/>
          <w:color w:val="000000"/>
          <w:sz w:val="21"/>
          <w:szCs w:val="21"/>
        </w:rPr>
        <w:t xml:space="preserve">It applies to AI capability in all of the forms in which it reaches the institution, including:</w:t>
      </w:r>
    </w:p>
    <w:p>
      <w:pPr>
        <w:pStyle w:val="ListParagraph"/>
        <w:numPr>
          <w:ilvl w:val="0"/>
          <w:numId w:val="2"/>
        </w:numPr>
        <w:spacing w:after="70" w:line="276"/>
      </w:pPr>
      <w:r>
        <w:rPr>
          <w:rFonts w:ascii="Calibri" w:cs="Calibri" w:eastAsia="Calibri" w:hAnsi="Calibri"/>
          <w:color w:val="000000"/>
          <w:sz w:val="21"/>
          <w:szCs w:val="21"/>
        </w:rPr>
        <w:t xml:space="preserve">Standalone generative AI tools and assistants, whether web-based, desktop, or mobile.</w:t>
      </w:r>
    </w:p>
    <w:p>
      <w:pPr>
        <w:pStyle w:val="ListParagraph"/>
        <w:numPr>
          <w:ilvl w:val="0"/>
          <w:numId w:val="2"/>
        </w:numPr>
        <w:spacing w:after="70" w:line="276"/>
      </w:pPr>
      <w:r>
        <w:rPr>
          <w:rFonts w:ascii="Calibri" w:cs="Calibri" w:eastAsia="Calibri" w:hAnsi="Calibri"/>
          <w:color w:val="000000"/>
          <w:sz w:val="21"/>
          <w:szCs w:val="21"/>
        </w:rPr>
        <w:t xml:space="preserve">AI features embedded in systems the institution already licenses, including the learning management system, student information system, email and productivity suite, service desk, and advancement or admissions platforms. An embedded feature is in scope even when the underlying platform was approved before the feature existed.</w:t>
      </w:r>
    </w:p>
    <w:p>
      <w:pPr>
        <w:pStyle w:val="ListParagraph"/>
        <w:numPr>
          <w:ilvl w:val="0"/>
          <w:numId w:val="2"/>
        </w:numPr>
        <w:spacing w:after="70" w:line="276"/>
      </w:pPr>
      <w:r>
        <w:rPr>
          <w:rFonts w:ascii="Calibri" w:cs="Calibri" w:eastAsia="Calibri" w:hAnsi="Calibri"/>
          <w:color w:val="000000"/>
          <w:sz w:val="21"/>
          <w:szCs w:val="21"/>
        </w:rPr>
        <w:t xml:space="preserve">Browser extensions, meeting assistants, transcription and note-taking services, and any tool that observes a screen, a document, or a conversation.</w:t>
      </w:r>
    </w:p>
    <w:p>
      <w:pPr>
        <w:pStyle w:val="ListParagraph"/>
        <w:numPr>
          <w:ilvl w:val="0"/>
          <w:numId w:val="2"/>
        </w:numPr>
        <w:spacing w:after="70" w:line="276"/>
      </w:pPr>
      <w:r>
        <w:rPr>
          <w:rFonts w:ascii="Calibri" w:cs="Calibri" w:eastAsia="Calibri" w:hAnsi="Calibri"/>
          <w:color w:val="000000"/>
          <w:sz w:val="21"/>
          <w:szCs w:val="21"/>
        </w:rPr>
        <w:t xml:space="preserve">Application programming interfaces, self-hosted or locally run models, and models fine-tuned or trained on institutional data.</w:t>
      </w:r>
    </w:p>
    <w:p>
      <w:pPr>
        <w:pStyle w:val="ListParagraph"/>
        <w:numPr>
          <w:ilvl w:val="0"/>
          <w:numId w:val="2"/>
        </w:numPr>
        <w:spacing w:after="70" w:line="276"/>
      </w:pPr>
      <w:r>
        <w:rPr>
          <w:rFonts w:ascii="Calibri" w:cs="Calibri" w:eastAsia="Calibri" w:hAnsi="Calibri"/>
          <w:color w:val="000000"/>
          <w:sz w:val="21"/>
          <w:szCs w:val="21"/>
        </w:rPr>
        <w:t xml:space="preserve">Agentic systems that take actions, invoke tools, or operate across multiple steps without a person approving each step.</w:t>
      </w:r>
    </w:p>
    <w:p>
      <w:pPr>
        <w:pStyle w:val="Heading3"/>
        <w:spacing w:after="70" w:before="160"/>
      </w:pPr>
      <w:r>
        <w:rPr>
          <w:rFonts w:ascii="Calibri" w:cs="Calibri" w:eastAsia="Calibri" w:hAnsi="Calibri"/>
          <w:b/>
          <w:bCs/>
          <w:i/>
          <w:iCs/>
          <w:color w:val="000000"/>
          <w:sz w:val="21"/>
          <w:szCs w:val="21"/>
        </w:rPr>
        <w:t xml:space="preserve">3.1 Exclusions</w:t>
      </w:r>
    </w:p>
    <w:p>
      <w:pPr>
        <w:spacing w:after="120" w:line="276"/>
      </w:pPr>
      <w:r>
        <w:rPr>
          <w:rFonts w:ascii="Calibri" w:cs="Calibri" w:eastAsia="Calibri" w:hAnsi="Calibri"/>
          <w:color w:val="000000"/>
          <w:sz w:val="21"/>
          <w:szCs w:val="21"/>
        </w:rPr>
        <w:t xml:space="preserve">This policy does not govern a student's personal, non-institutional use of AI tools on personal accounts and personal devices where no institutional data is involved. Course-level rules on AI use in academic work are set by the instructor of record under Section 4.6 and the institution's academic integrity policy, not by this policy.</w:t>
      </w:r>
    </w:p>
    <w:p>
      <w:pPr>
        <w:spacing w:after="120" w:line="276"/>
      </w:pPr>
      <w:r>
        <w:rPr>
          <w:rFonts w:ascii="Calibri" w:cs="Calibri" w:eastAsia="Calibri" w:hAnsi="Calibri"/>
          <w:color w:val="000000"/>
          <w:sz w:val="21"/>
          <w:szCs w:val="21"/>
        </w:rPr>
        <w:t xml:space="preserve">Exceptions to this policy are handled under Section 6.</w:t>
      </w:r>
    </w:p>
    <w:p>
      <w:pPr>
        <w:pStyle w:val="Heading1"/>
        <w:pBdr>
          <w:bottom w:val="single" w:color="BFBFBF" w:sz="6" w:space="4"/>
        </w:pBdr>
        <w:spacing w:after="140" w:before="320"/>
      </w:pPr>
      <w:r>
        <w:rPr>
          <w:rFonts w:ascii="Calibri" w:cs="Calibri" w:eastAsia="Calibri" w:hAnsi="Calibri"/>
          <w:b/>
          <w:bCs/>
          <w:color w:val="000000"/>
          <w:sz w:val="28"/>
          <w:szCs w:val="28"/>
        </w:rPr>
        <w:t xml:space="preserve">4. Policy</w:t>
      </w:r>
    </w:p>
    <w:p>
      <w:pPr>
        <w:pStyle w:val="Heading2"/>
        <w:spacing w:after="90" w:before="220"/>
      </w:pPr>
      <w:r>
        <w:rPr>
          <w:rFonts w:ascii="Calibri" w:cs="Calibri" w:eastAsia="Calibri" w:hAnsi="Calibri"/>
          <w:b/>
          <w:bCs/>
          <w:color w:val="000000"/>
          <w:sz w:val="23"/>
          <w:szCs w:val="23"/>
        </w:rPr>
        <w:t xml:space="preserve">4.1 General Use and Responsibility</w:t>
      </w:r>
    </w:p>
    <w:p>
      <w:pPr>
        <w:pStyle w:val="ListParagraph"/>
        <w:numPr>
          <w:ilvl w:val="0"/>
          <w:numId w:val="3"/>
        </w:numPr>
        <w:spacing w:after="70" w:line="276"/>
      </w:pPr>
      <w:r>
        <w:rPr>
          <w:rFonts w:ascii="Calibri" w:cs="Calibri" w:eastAsia="Calibri" w:hAnsi="Calibri"/>
          <w:b/>
          <w:bCs/>
          <w:color w:val="000000"/>
          <w:sz w:val="21"/>
          <w:szCs w:val="21"/>
        </w:rPr>
        <w:t xml:space="preserve">Accountability does not transfer to a tool. </w:t>
      </w:r>
      <w:r>
        <w:rPr>
          <w:rFonts w:ascii="Calibri" w:cs="Calibri" w:eastAsia="Calibri" w:hAnsi="Calibri"/>
          <w:color w:val="000000"/>
          <w:sz w:val="21"/>
          <w:szCs w:val="21"/>
        </w:rPr>
        <w:t xml:space="preserve">The person who uses an AI tool remains fully responsible for the accuracy, legality, and appropriateness of the resulting work product, and for any decision informed by it. "The AI produced it" is not a defense and is not a mitigating circumstance.</w:t>
      </w:r>
    </w:p>
    <w:p>
      <w:pPr>
        <w:pStyle w:val="ListParagraph"/>
        <w:numPr>
          <w:ilvl w:val="0"/>
          <w:numId w:val="3"/>
        </w:numPr>
        <w:spacing w:after="70" w:line="276"/>
      </w:pPr>
      <w:r>
        <w:rPr>
          <w:rFonts w:ascii="Calibri" w:cs="Calibri" w:eastAsia="Calibri" w:hAnsi="Calibri"/>
          <w:b/>
          <w:bCs/>
          <w:color w:val="000000"/>
          <w:sz w:val="21"/>
          <w:szCs w:val="21"/>
        </w:rPr>
        <w:t xml:space="preserve">Institutional data remains institutional property. </w:t>
      </w:r>
      <w:r>
        <w:rPr>
          <w:rFonts w:ascii="Calibri" w:cs="Calibri" w:eastAsia="Calibri" w:hAnsi="Calibri"/>
          <w:color w:val="000000"/>
          <w:sz w:val="21"/>
          <w:szCs w:val="21"/>
        </w:rPr>
        <w:t xml:space="preserve">Institutional information entered into an AI tool remains the property of &lt;Institution Name&gt;, regardless of the account or device used. Placing institutional data into a personal AI account creates a copy the institution cannot inventory, govern, produce in response to a records request or legal hold, or revoke when the individual departs.</w:t>
      </w:r>
    </w:p>
    <w:p>
      <w:pPr>
        <w:pStyle w:val="ListParagraph"/>
        <w:numPr>
          <w:ilvl w:val="0"/>
          <w:numId w:val="3"/>
        </w:numPr>
        <w:spacing w:after="70" w:line="276"/>
      </w:pPr>
      <w:r>
        <w:rPr>
          <w:rFonts w:ascii="Calibri" w:cs="Calibri" w:eastAsia="Calibri" w:hAnsi="Calibri"/>
          <w:b/>
          <w:bCs/>
          <w:color w:val="000000"/>
          <w:sz w:val="21"/>
          <w:szCs w:val="21"/>
        </w:rPr>
        <w:t xml:space="preserve">Use only what you are already authorized to access. </w:t>
      </w:r>
      <w:r>
        <w:rPr>
          <w:rFonts w:ascii="Calibri" w:cs="Calibri" w:eastAsia="Calibri" w:hAnsi="Calibri"/>
          <w:color w:val="000000"/>
          <w:sz w:val="21"/>
          <w:szCs w:val="21"/>
        </w:rPr>
        <w:t xml:space="preserve">An AI tool may be used only with data the user is independently authorized to access and use for the assigned purpose. AI use does not extend a user's access rights.</w:t>
      </w:r>
    </w:p>
    <w:p>
      <w:pPr>
        <w:pStyle w:val="ListParagraph"/>
        <w:numPr>
          <w:ilvl w:val="0"/>
          <w:numId w:val="3"/>
        </w:numPr>
        <w:spacing w:after="70" w:line="276"/>
      </w:pPr>
      <w:r>
        <w:rPr>
          <w:rFonts w:ascii="Calibri" w:cs="Calibri" w:eastAsia="Calibri" w:hAnsi="Calibri"/>
          <w:b/>
          <w:bCs/>
          <w:color w:val="000000"/>
          <w:sz w:val="21"/>
          <w:szCs w:val="21"/>
        </w:rPr>
        <w:t xml:space="preserve">Minimize what you submit. </w:t>
      </w:r>
      <w:r>
        <w:rPr>
          <w:rFonts w:ascii="Calibri" w:cs="Calibri" w:eastAsia="Calibri" w:hAnsi="Calibri"/>
          <w:color w:val="000000"/>
          <w:sz w:val="21"/>
          <w:szCs w:val="21"/>
        </w:rPr>
        <w:t xml:space="preserve">Submit the least information required to accomplish the task. Remove identifiers and unnecessary detail before submission.</w:t>
      </w:r>
    </w:p>
    <w:p>
      <w:pPr>
        <w:pStyle w:val="ListParagraph"/>
        <w:numPr>
          <w:ilvl w:val="0"/>
          <w:numId w:val="3"/>
        </w:numPr>
        <w:spacing w:after="70" w:line="276"/>
      </w:pPr>
      <w:r>
        <w:rPr>
          <w:rFonts w:ascii="Calibri" w:cs="Calibri" w:eastAsia="Calibri" w:hAnsi="Calibri"/>
          <w:b/>
          <w:bCs/>
          <w:color w:val="000000"/>
          <w:sz w:val="21"/>
          <w:szCs w:val="21"/>
        </w:rPr>
        <w:t xml:space="preserve">Report promptly. </w:t>
      </w:r>
      <w:r>
        <w:rPr>
          <w:rFonts w:ascii="Calibri" w:cs="Calibri" w:eastAsia="Calibri" w:hAnsi="Calibri"/>
          <w:color w:val="000000"/>
          <w:sz w:val="21"/>
          <w:szCs w:val="21"/>
        </w:rPr>
        <w:t xml:space="preserve">Any suspected or actual disclosure of institutional data to an unapproved AI tool must be reported under Section 4.11 without delay. Reports made in good faith about the reporter's own use will be handled as governance and remediation matters, not as disciplinary matters, except where the conduct was willful, repeated after notice, or intended to conceal.</w:t>
      </w:r>
    </w:p>
    <w:p>
      <w:pPr>
        <w:pStyle w:val="ListParagraph"/>
        <w:numPr>
          <w:ilvl w:val="0"/>
          <w:numId w:val="3"/>
        </w:numPr>
        <w:spacing w:after="70" w:line="276"/>
      </w:pPr>
      <w:r>
        <w:rPr>
          <w:rFonts w:ascii="Calibri" w:cs="Calibri" w:eastAsia="Calibri" w:hAnsi="Calibri"/>
          <w:b/>
          <w:bCs/>
          <w:color w:val="000000"/>
          <w:sz w:val="21"/>
          <w:szCs w:val="21"/>
        </w:rPr>
        <w:t xml:space="preserve">Monitoring. </w:t>
      </w:r>
      <w:r>
        <w:rPr>
          <w:rFonts w:ascii="Calibri" w:cs="Calibri" w:eastAsia="Calibri" w:hAnsi="Calibri"/>
          <w:color w:val="000000"/>
          <w:sz w:val="21"/>
          <w:szCs w:val="21"/>
        </w:rPr>
        <w:t xml:space="preserve">&lt;Institution Name&gt; may monitor institutional systems, accounts, and network traffic for compliance with this policy, consistent with the institution's &lt;Audit / Monitoring Policy&gt; and applicable law. Monitoring is conducted at the identity, network, and application layer to identify which services are in use. Content-level inspection is limited to institutional accounts and devices, is scoped to defined sensitive-data categories, and is not used for general review of scholarly or instructional activity.</w:t>
      </w:r>
    </w:p>
    <w:p>
      <w:pPr>
        <w:pStyle w:val="Heading2"/>
        <w:spacing w:after="90" w:before="220"/>
      </w:pPr>
      <w:r>
        <w:rPr>
          <w:rFonts w:ascii="Calibri" w:cs="Calibri" w:eastAsia="Calibri" w:hAnsi="Calibri"/>
          <w:b/>
          <w:bCs/>
          <w:color w:val="000000"/>
          <w:sz w:val="23"/>
          <w:szCs w:val="23"/>
        </w:rPr>
        <w:t xml:space="preserve">4.2 Data Classification: What May Be Entered Into an AI Tool</w:t>
      </w:r>
    </w:p>
    <w:p>
      <w:pPr>
        <w:spacing w:after="120" w:line="276"/>
      </w:pPr>
      <w:r>
        <w:rPr>
          <w:rFonts w:ascii="Calibri" w:cs="Calibri" w:eastAsia="Calibri" w:hAnsi="Calibri"/>
          <w:color w:val="000000"/>
          <w:sz w:val="21"/>
          <w:szCs w:val="21"/>
        </w:rPr>
        <w:t xml:space="preserve">The controlling question is not which tool is being used but which class of data is being entered into which class of tool. The following tiers apply. Where this table and the institution's &lt;Data Classification Policy&gt; use different labels, the &lt;Data Classification Policy&gt; definitions govern and this table maps to them.</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500"/>
        <w:gridCol w:w="3050"/>
        <w:gridCol w:w="4550"/>
      </w:tblGrid>
      <w:tr>
        <w:trPr>
          <w:tblHeader/>
        </w:trPr>
        <w:tc>
          <w:tcPr>
            <w:tcW w:type="dxa" w:w="15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Tier</w:t>
            </w:r>
          </w:p>
        </w:tc>
        <w:tc>
          <w:tcPr>
            <w:tcW w:type="dxa" w:w="305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Data in this tier</w:t>
            </w:r>
          </w:p>
        </w:tc>
        <w:tc>
          <w:tcPr>
            <w:tcW w:type="dxa" w:w="455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What is permitted</w:t>
            </w:r>
          </w:p>
        </w:tc>
      </w:tr>
      <w:tr>
        <w:tc>
          <w:tcPr>
            <w:tcW w:type="dxa" w:w="1500"/>
            <w:tcBorders>
              <w:top w:val="single" w:color="A6A6A6" w:sz="4"/>
              <w:left w:val="single" w:color="A6A6A6" w:sz="4"/>
              <w:bottom w:val="single" w:color="A6A6A6" w:sz="4"/>
              <w:right w:val="single" w:color="A6A6A6" w:sz="4"/>
            </w:tcBorders>
            <w:shd w:fill="C6E0B4" w:color="auto" w:val="clear"/>
            <w:tcMar>
              <w:top w:type="dxa" w:w="80"/>
              <w:left w:type="dxa" w:w="110"/>
              <w:bottom w:type="dxa" w:w="80"/>
              <w:right w:type="dxa" w:w="110"/>
            </w:tcMar>
          </w:tcPr>
          <w:p>
            <w:pPr>
              <w:spacing w:after="0" w:line="264"/>
            </w:pPr>
            <w:r>
              <w:rPr>
                <w:rFonts w:ascii="Calibri" w:cs="Calibri" w:eastAsia="Calibri" w:hAnsi="Calibri"/>
                <w:b/>
                <w:bCs/>
                <w:color w:val="22491B"/>
                <w:sz w:val="19"/>
                <w:szCs w:val="19"/>
              </w:rPr>
              <w:t xml:space="preserve">GREEN: Public</w:t>
            </w:r>
          </w:p>
        </w:tc>
        <w:tc>
          <w:tcPr>
            <w:tcW w:type="dxa" w:w="3050"/>
            <w:tcBorders>
              <w:top w:val="single" w:color="A6A6A6" w:sz="4"/>
              <w:left w:val="single" w:color="A6A6A6" w:sz="4"/>
              <w:bottom w:val="single" w:color="A6A6A6" w:sz="4"/>
              <w:right w:val="single" w:color="A6A6A6" w:sz="4"/>
            </w:tcBorders>
            <w:shd w:fill="EDF5E7" w:color="auto" w:val="clear"/>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Information already published or approved for public release: course catalogs, public web content, press releases, published research, directory information the institution has designated as such.</w:t>
            </w:r>
          </w:p>
        </w:tc>
        <w:tc>
          <w:tcPr>
            <w:tcW w:type="dxa" w:w="4550"/>
            <w:tcBorders>
              <w:top w:val="single" w:color="A6A6A6" w:sz="4"/>
              <w:left w:val="single" w:color="A6A6A6" w:sz="4"/>
              <w:bottom w:val="single" w:color="A6A6A6" w:sz="4"/>
              <w:right w:val="single" w:color="A6A6A6" w:sz="4"/>
            </w:tcBorders>
            <w:shd w:fill="EDF5E7" w:color="auto" w:val="clear"/>
            <w:tcMar>
              <w:top w:type="dxa" w:w="80"/>
              <w:left w:type="dxa" w:w="110"/>
              <w:bottom w:type="dxa" w:w="80"/>
              <w:right w:type="dxa" w:w="110"/>
            </w:tcMar>
          </w:tcPr>
          <w:p>
            <w:pPr>
              <w:spacing w:after="60" w:line="264"/>
            </w:pPr>
            <w:r>
              <w:rPr>
                <w:rFonts w:ascii="Calibri" w:cs="Calibri" w:eastAsia="Calibri" w:hAnsi="Calibri"/>
                <w:color w:val="000000"/>
                <w:sz w:val="19"/>
                <w:szCs w:val="19"/>
              </w:rPr>
              <w:t xml:space="preserve">May be used with any AI tool, including personal or consumer accounts.</w:t>
            </w:r>
          </w:p>
          <w:p>
            <w:pPr>
              <w:spacing w:after="0" w:line="264"/>
            </w:pPr>
            <w:r>
              <w:rPr>
                <w:rFonts w:ascii="Calibri" w:cs="Calibri" w:eastAsia="Calibri" w:hAnsi="Calibri"/>
                <w:color w:val="000000"/>
                <w:sz w:val="19"/>
                <w:szCs w:val="19"/>
              </w:rPr>
              <w:t xml:space="preserve">Output must still be verified before use and disclosed where §4.6 or §4.8 requires.</w:t>
            </w:r>
          </w:p>
        </w:tc>
      </w:tr>
      <w:tr>
        <w:tc>
          <w:tcPr>
            <w:tcW w:type="dxa" w:w="1500"/>
            <w:tcBorders>
              <w:top w:val="single" w:color="A6A6A6" w:sz="4"/>
              <w:left w:val="single" w:color="A6A6A6" w:sz="4"/>
              <w:bottom w:val="single" w:color="A6A6A6" w:sz="4"/>
              <w:right w:val="single" w:color="A6A6A6" w:sz="4"/>
            </w:tcBorders>
            <w:shd w:fill="FFE08A" w:color="auto" w:val="clear"/>
            <w:tcMar>
              <w:top w:type="dxa" w:w="80"/>
              <w:left w:type="dxa" w:w="110"/>
              <w:bottom w:type="dxa" w:w="80"/>
              <w:right w:type="dxa" w:w="110"/>
            </w:tcMar>
          </w:tcPr>
          <w:p>
            <w:pPr>
              <w:spacing w:after="0" w:line="264"/>
            </w:pPr>
            <w:r>
              <w:rPr>
                <w:rFonts w:ascii="Calibri" w:cs="Calibri" w:eastAsia="Calibri" w:hAnsi="Calibri"/>
                <w:b/>
                <w:bCs/>
                <w:color w:val="6B4B00"/>
                <w:sz w:val="19"/>
                <w:szCs w:val="19"/>
              </w:rPr>
              <w:t xml:space="preserve">AMBER: Internal</w:t>
            </w:r>
          </w:p>
        </w:tc>
        <w:tc>
          <w:tcPr>
            <w:tcW w:type="dxa" w:w="3050"/>
            <w:tcBorders>
              <w:top w:val="single" w:color="A6A6A6" w:sz="4"/>
              <w:left w:val="single" w:color="A6A6A6" w:sz="4"/>
              <w:bottom w:val="single" w:color="A6A6A6" w:sz="4"/>
              <w:right w:val="single" w:color="A6A6A6" w:sz="4"/>
            </w:tcBorders>
            <w:shd w:fill="FFF7E3" w:color="auto" w:val="clear"/>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Non-public institutional information that is not regulated and is not drawn from a Restricted record: internal drafts, meeting notes, operational documentation, de-identified aggregate data, and ordinary business-contact information (names, titles, work email addresses, and phone numbers appearing in routine institutional communications). Information taken from an education, personnel, health, financial, or other Restricted record does not become Amber by appearing in a routine communication.</w:t>
            </w:r>
          </w:p>
        </w:tc>
        <w:tc>
          <w:tcPr>
            <w:tcW w:type="dxa" w:w="4550"/>
            <w:tcBorders>
              <w:top w:val="single" w:color="A6A6A6" w:sz="4"/>
              <w:left w:val="single" w:color="A6A6A6" w:sz="4"/>
              <w:bottom w:val="single" w:color="A6A6A6" w:sz="4"/>
              <w:right w:val="single" w:color="A6A6A6" w:sz="4"/>
            </w:tcBorders>
            <w:shd w:fill="FFF7E3" w:color="auto" w:val="clear"/>
            <w:tcMar>
              <w:top w:type="dxa" w:w="80"/>
              <w:left w:type="dxa" w:w="110"/>
              <w:bottom w:type="dxa" w:w="80"/>
              <w:right w:type="dxa" w:w="110"/>
            </w:tcMar>
          </w:tcPr>
          <w:p>
            <w:pPr>
              <w:spacing w:after="60" w:line="264"/>
            </w:pPr>
            <w:r>
              <w:rPr>
                <w:rFonts w:ascii="Calibri" w:cs="Calibri" w:eastAsia="Calibri" w:hAnsi="Calibri"/>
                <w:color w:val="000000"/>
                <w:sz w:val="19"/>
                <w:szCs w:val="19"/>
              </w:rPr>
              <w:t xml:space="preserve">Permitted only in an Approved AI Tool accessed with institutional credentials.</w:t>
            </w:r>
          </w:p>
          <w:p>
            <w:pPr>
              <w:spacing w:after="0" w:line="264"/>
            </w:pPr>
            <w:r>
              <w:rPr>
                <w:rFonts w:ascii="Calibri" w:cs="Calibri" w:eastAsia="Calibri" w:hAnsi="Calibri"/>
                <w:color w:val="000000"/>
                <w:sz w:val="19"/>
                <w:szCs w:val="19"/>
              </w:rPr>
              <w:t xml:space="preserve">Not permitted in personal or consumer accounts under any circumstances.</w:t>
            </w:r>
          </w:p>
        </w:tc>
      </w:tr>
      <w:tr>
        <w:tc>
          <w:tcPr>
            <w:tcW w:type="dxa" w:w="1500"/>
            <w:tcBorders>
              <w:top w:val="single" w:color="A6A6A6" w:sz="4"/>
              <w:left w:val="single" w:color="A6A6A6" w:sz="4"/>
              <w:bottom w:val="single" w:color="A6A6A6" w:sz="4"/>
              <w:right w:val="single" w:color="A6A6A6" w:sz="4"/>
            </w:tcBorders>
            <w:shd w:fill="F1A9A0" w:color="auto" w:val="clear"/>
            <w:tcMar>
              <w:top w:type="dxa" w:w="80"/>
              <w:left w:type="dxa" w:w="110"/>
              <w:bottom w:type="dxa" w:w="80"/>
              <w:right w:type="dxa" w:w="110"/>
            </w:tcMar>
          </w:tcPr>
          <w:p>
            <w:pPr>
              <w:spacing w:after="0" w:line="264"/>
            </w:pPr>
            <w:r>
              <w:rPr>
                <w:rFonts w:ascii="Calibri" w:cs="Calibri" w:eastAsia="Calibri" w:hAnsi="Calibri"/>
                <w:b/>
                <w:bCs/>
                <w:color w:val="70140B"/>
                <w:sz w:val="19"/>
                <w:szCs w:val="19"/>
              </w:rPr>
              <w:t xml:space="preserve">RED: Restricted</w:t>
            </w:r>
          </w:p>
        </w:tc>
        <w:tc>
          <w:tcPr>
            <w:tcW w:type="dxa" w:w="3050"/>
            <w:tcBorders>
              <w:top w:val="single" w:color="A6A6A6" w:sz="4"/>
              <w:left w:val="single" w:color="A6A6A6" w:sz="4"/>
              <w:bottom w:val="single" w:color="A6A6A6" w:sz="4"/>
              <w:right w:val="single" w:color="A6A6A6" w:sz="4"/>
            </w:tcBorders>
            <w:shd w:fill="FCEBE9" w:color="auto" w:val="clear"/>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Education records and any personally identifiable information from them (FERPA); protected health information (HIPAA); human-subjects data governed by IRB or IACUC protocol; export-controlled or ITAR/EAR technical data; sponsor-restricted or CUI research data; personnel, payroll, and applicant records; financial account, payment card, and Social Security numbers; credentials, keys, and tokens; attorney-client privileged and litigation material; unpublished intellectual property, unfiled patent disclosures, and material under NDA; law-enforcement and student-conduct records.</w:t>
            </w:r>
          </w:p>
        </w:tc>
        <w:tc>
          <w:tcPr>
            <w:tcW w:type="dxa" w:w="4550"/>
            <w:tcBorders>
              <w:top w:val="single" w:color="A6A6A6" w:sz="4"/>
              <w:left w:val="single" w:color="A6A6A6" w:sz="4"/>
              <w:bottom w:val="single" w:color="A6A6A6" w:sz="4"/>
              <w:right w:val="single" w:color="A6A6A6" w:sz="4"/>
            </w:tcBorders>
            <w:shd w:fill="FCEBE9" w:color="auto" w:val="clear"/>
            <w:tcMar>
              <w:top w:type="dxa" w:w="80"/>
              <w:left w:type="dxa" w:w="110"/>
              <w:bottom w:type="dxa" w:w="80"/>
              <w:right w:type="dxa" w:w="110"/>
            </w:tcMar>
          </w:tcPr>
          <w:p>
            <w:pPr>
              <w:spacing w:after="60" w:line="264"/>
            </w:pPr>
            <w:r>
              <w:rPr>
                <w:rFonts w:ascii="Calibri" w:cs="Calibri" w:eastAsia="Calibri" w:hAnsi="Calibri"/>
                <w:color w:val="000000"/>
                <w:sz w:val="19"/>
                <w:szCs w:val="19"/>
              </w:rPr>
              <w:t xml:space="preserve">Prohibited in any AI tool unless that specific tool has been approved in writing for that specific data category by the &lt;AI Governance Owner&gt;, under an executed agreement meeting §4.4.</w:t>
            </w:r>
          </w:p>
          <w:p>
            <w:pPr>
              <w:spacing w:after="0" w:line="264"/>
            </w:pPr>
            <w:r>
              <w:rPr>
                <w:rFonts w:ascii="Calibri" w:cs="Calibri" w:eastAsia="Calibri" w:hAnsi="Calibri"/>
                <w:color w:val="000000"/>
                <w:sz w:val="19"/>
                <w:szCs w:val="19"/>
              </w:rPr>
              <w:t xml:space="preserve">Approval is tool-specific and data-category-specific. Approval for one Restricted category is not approval for another.</w:t>
            </w:r>
          </w:p>
        </w:tc>
      </w:tr>
    </w:tbl>
    <w:p>
      <w:pPr>
        <w:spacing w:after="160"/>
      </w:pPr>
    </w:p>
    <w:p>
      <w:pPr>
        <w:spacing w:after="120" w:line="276"/>
      </w:pPr>
      <w:r>
        <w:rPr>
          <w:rFonts w:ascii="Calibri" w:cs="Calibri" w:eastAsia="Calibri" w:hAnsi="Calibri"/>
          <w:b/>
          <w:bCs/>
          <w:color w:val="000000"/>
          <w:sz w:val="21"/>
          <w:szCs w:val="21"/>
        </w:rPr>
        <w:t xml:space="preserve">Default rule. </w:t>
      </w:r>
      <w:r>
        <w:rPr>
          <w:rFonts w:ascii="Calibri" w:cs="Calibri" w:eastAsia="Calibri" w:hAnsi="Calibri"/>
          <w:color w:val="000000"/>
          <w:sz w:val="21"/>
          <w:szCs w:val="21"/>
        </w:rPr>
        <w:t xml:space="preserve">If the classification of a data element is unclear, treat it as Restricted and ask the &lt;AI Governance Owner&gt; before submitting it.</w:t>
      </w:r>
    </w:p>
    <w:p>
      <w:pPr>
        <w:spacing w:after="120" w:line="276"/>
      </w:pPr>
      <w:r>
        <w:rPr>
          <w:rFonts w:ascii="Calibri" w:cs="Calibri" w:eastAsia="Calibri" w:hAnsi="Calibri"/>
          <w:b/>
          <w:bCs/>
          <w:color w:val="000000"/>
          <w:sz w:val="21"/>
          <w:szCs w:val="21"/>
        </w:rPr>
        <w:t xml:space="preserve">A plain-language test. </w:t>
      </w:r>
      <w:r>
        <w:rPr>
          <w:rFonts w:ascii="Calibri" w:cs="Calibri" w:eastAsia="Calibri" w:hAnsi="Calibri"/>
          <w:color w:val="000000"/>
          <w:sz w:val="21"/>
          <w:szCs w:val="21"/>
        </w:rPr>
        <w:t xml:space="preserve">Before entering anything, ask whether you would be comfortable if that text appeared, attributed to you and to &lt;Institution Name&gt;, in a public records response or in a news article. If not, it is not Green.</w:t>
      </w:r>
    </w:p>
    <w:p>
      <w:pPr>
        <w:spacing w:after="120" w:line="276"/>
      </w:pPr>
      <w:r>
        <w:rPr>
          <w:rFonts w:ascii="Calibri" w:cs="Calibri" w:eastAsia="Calibri" w:hAnsi="Calibri"/>
          <w:b/>
          <w:bCs/>
          <w:color w:val="000000"/>
          <w:sz w:val="21"/>
          <w:szCs w:val="21"/>
        </w:rPr>
        <w:t xml:space="preserve">De-identification is not an automatic exemption. </w:t>
      </w:r>
      <w:r>
        <w:rPr>
          <w:rFonts w:ascii="Calibri" w:cs="Calibri" w:eastAsia="Calibri" w:hAnsi="Calibri"/>
          <w:color w:val="000000"/>
          <w:sz w:val="21"/>
          <w:szCs w:val="21"/>
        </w:rPr>
        <w:t xml:space="preserve">Removing names does not necessarily make education-record data non-identifiable. In small cohorts, a combination of program, term, course load, and other attributes may be sufficient to identify an individual. De-identified education-record data may be treated as Amber only where the &lt;Registrar / Data Steward&gt; has determined, and documented, that a reasonable-determination standard is met for that specific dataset.</w:t>
      </w:r>
    </w:p>
    <w:p>
      <w:pPr>
        <w:pStyle w:val="Heading2"/>
        <w:spacing w:after="90" w:before="220"/>
      </w:pPr>
      <w:r>
        <w:rPr>
          <w:rFonts w:ascii="Calibri" w:cs="Calibri" w:eastAsia="Calibri" w:hAnsi="Calibri"/>
          <w:b/>
          <w:bCs/>
          <w:color w:val="000000"/>
          <w:sz w:val="23"/>
          <w:szCs w:val="23"/>
        </w:rPr>
        <w:t xml:space="preserve">4.3 Approved Tools</w:t>
      </w:r>
    </w:p>
    <w:p>
      <w:pPr>
        <w:spacing w:after="120" w:line="276"/>
      </w:pPr>
      <w:r>
        <w:rPr>
          <w:rFonts w:ascii="Calibri" w:cs="Calibri" w:eastAsia="Calibri" w:hAnsi="Calibri"/>
          <w:color w:val="000000"/>
          <w:sz w:val="21"/>
          <w:szCs w:val="21"/>
        </w:rPr>
        <w:t xml:space="preserve">Only tools listed on the institution's Approved AI Tool List may be used with Amber or Restricted data. The list is maintained by the &lt;AI Governance Owner&gt; and published at &lt;Location&gt;. Each entry states the tool, the approved account type, and the highest data tier approved for it.</w:t>
      </w:r>
    </w:p>
    <w:p>
      <w:pPr>
        <w:spacing w:after="120" w:line="276"/>
      </w:pPr>
      <w:r>
        <w:rPr>
          <w:rFonts w:ascii="Calibri" w:cs="Calibri" w:eastAsia="Calibri" w:hAnsi="Calibri"/>
          <w:color w:val="000000"/>
          <w:sz w:val="21"/>
          <w:szCs w:val="21"/>
        </w:rPr>
        <w:t xml:space="preserve">Use of a tool that is not on the list, for Green data only, is permitted but is not endorsed, is not supported, and confers no institutional agreement. Users may not represent such a tool as institutionally approved and may not require others to use it.</w:t>
      </w:r>
    </w:p>
    <w:p>
      <w:pPr>
        <w:spacing w:after="120" w:line="276"/>
      </w:pPr>
      <w:r>
        <w:rPr>
          <w:rFonts w:ascii="Calibri" w:cs="Calibri" w:eastAsia="Calibri" w:hAnsi="Calibri"/>
          <w:b/>
          <w:bCs/>
          <w:color w:val="000000"/>
          <w:sz w:val="21"/>
          <w:szCs w:val="21"/>
        </w:rPr>
        <w:t xml:space="preserve">Personal and consumer accounts. </w:t>
      </w:r>
      <w:r>
        <w:rPr>
          <w:rFonts w:ascii="Calibri" w:cs="Calibri" w:eastAsia="Calibri" w:hAnsi="Calibri"/>
          <w:color w:val="000000"/>
          <w:sz w:val="21"/>
          <w:szCs w:val="21"/>
        </w:rPr>
        <w:t xml:space="preserve">Consumer tiers of general-purpose AI services, including free, individual paid, and personal subscription tiers, carry no institutional agreement, no contractual restriction on the provider's use of submitted data, no administrative visibility, and no institutional right to retrieve or delete content. They may be used with Green data only, and may never be used with Amber or Restricted data, regardless of any setting the individual user has toggled within the product.</w:t>
      </w:r>
    </w:p>
    <w:p>
      <w:pPr>
        <w:spacing w:after="120" w:line="276"/>
      </w:pPr>
      <w:r>
        <w:rPr>
          <w:rFonts w:ascii="Calibri" w:cs="Calibri" w:eastAsia="Calibri" w:hAnsi="Calibri"/>
          <w:b/>
          <w:bCs/>
          <w:color w:val="000000"/>
          <w:sz w:val="21"/>
          <w:szCs w:val="21"/>
        </w:rPr>
        <w:t xml:space="preserve">Configuration is part of approval. </w:t>
      </w:r>
      <w:r>
        <w:rPr>
          <w:rFonts w:ascii="Calibri" w:cs="Calibri" w:eastAsia="Calibri" w:hAnsi="Calibri"/>
          <w:color w:val="000000"/>
          <w:sz w:val="21"/>
          <w:szCs w:val="21"/>
        </w:rPr>
        <w:t xml:space="preserve">A tool is approved only in the configuration in which it was reviewed. Enabling a new connector, integration, memory feature, browser extension, or model-training setting on an approved tool is a change that requires review under Section 4.4 before use with Amber or Restricted data.</w:t>
      </w:r>
    </w:p>
    <w:p>
      <w:pPr>
        <w:pStyle w:val="Heading2"/>
        <w:spacing w:after="90" w:before="220"/>
      </w:pPr>
      <w:r>
        <w:rPr>
          <w:rFonts w:ascii="Calibri" w:cs="Calibri" w:eastAsia="Calibri" w:hAnsi="Calibri"/>
          <w:b/>
          <w:bCs/>
          <w:color w:val="000000"/>
          <w:sz w:val="23"/>
          <w:szCs w:val="23"/>
        </w:rPr>
        <w:t xml:space="preserve">4.4 Procurement, Vendor Review, and Contractual Requirements</w:t>
      </w:r>
    </w:p>
    <w:p>
      <w:pPr>
        <w:spacing w:after="120" w:line="276"/>
      </w:pPr>
      <w:r>
        <w:rPr>
          <w:rFonts w:ascii="Calibri" w:cs="Calibri" w:eastAsia="Calibri" w:hAnsi="Calibri"/>
          <w:color w:val="000000"/>
          <w:sz w:val="21"/>
          <w:szCs w:val="21"/>
        </w:rPr>
        <w:t xml:space="preserve">No AI tool or AI-enabled feature may be procured, licensed, accepted as a free offering, piloted with institutional data, enabled inside an existing system, or deployed in a public-facing capacity without prior review by the &lt;AI Governance Owner&gt; and &lt;Information Security&gt;. This requirement applies equally to no-cost tools, trial tiers, grant-funded tools, and features activated by a vendor inside a platform the institution already licenses. Accepting a vendor's terms of service on behalf of the institution is a procurement action and is subject to the institution's signature authority rules.</w:t>
      </w:r>
    </w:p>
    <w:p>
      <w:pPr>
        <w:pStyle w:val="Heading3"/>
        <w:spacing w:after="70" w:before="160"/>
      </w:pPr>
      <w:r>
        <w:rPr>
          <w:rFonts w:ascii="Calibri" w:cs="Calibri" w:eastAsia="Calibri" w:hAnsi="Calibri"/>
          <w:b/>
          <w:bCs/>
          <w:i/>
          <w:iCs/>
          <w:color w:val="000000"/>
          <w:sz w:val="21"/>
          <w:szCs w:val="21"/>
        </w:rPr>
        <w:t xml:space="preserve">Review criteria</w:t>
      </w:r>
    </w:p>
    <w:p>
      <w:pPr>
        <w:pStyle w:val="ListParagraph"/>
        <w:numPr>
          <w:ilvl w:val="0"/>
          <w:numId w:val="2"/>
        </w:numPr>
        <w:spacing w:after="70" w:line="276"/>
      </w:pPr>
      <w:r>
        <w:rPr>
          <w:rFonts w:ascii="Calibri" w:cs="Calibri" w:eastAsia="Calibri" w:hAnsi="Calibri"/>
          <w:color w:val="000000"/>
          <w:sz w:val="21"/>
          <w:szCs w:val="21"/>
        </w:rPr>
        <w:t xml:space="preserve">Legal and regulatory fit, including FERPA, HIPAA where applicable, ADA and Section 504/508, Title VI and Title IX, GLBA where student financial data is involved, and applicable state law.</w:t>
      </w:r>
    </w:p>
    <w:p>
      <w:pPr>
        <w:pStyle w:val="ListParagraph"/>
        <w:numPr>
          <w:ilvl w:val="0"/>
          <w:numId w:val="2"/>
        </w:numPr>
        <w:spacing w:after="70" w:line="276"/>
      </w:pPr>
      <w:r>
        <w:rPr>
          <w:rFonts w:ascii="Calibri" w:cs="Calibri" w:eastAsia="Calibri" w:hAnsi="Calibri"/>
          <w:color w:val="000000"/>
          <w:sz w:val="21"/>
          <w:szCs w:val="21"/>
        </w:rPr>
        <w:t xml:space="preserve">Data handling: what is retained, for how long, in what jurisdiction, who at the provider may access it, and under what process.</w:t>
      </w:r>
    </w:p>
    <w:p>
      <w:pPr>
        <w:pStyle w:val="ListParagraph"/>
        <w:numPr>
          <w:ilvl w:val="0"/>
          <w:numId w:val="2"/>
        </w:numPr>
        <w:spacing w:after="70" w:line="276"/>
      </w:pPr>
      <w:r>
        <w:rPr>
          <w:rFonts w:ascii="Calibri" w:cs="Calibri" w:eastAsia="Calibri" w:hAnsi="Calibri"/>
          <w:color w:val="000000"/>
          <w:sz w:val="21"/>
          <w:szCs w:val="21"/>
        </w:rPr>
        <w:t xml:space="preserve">Training use: whether institutional inputs or outputs are used to train, fine-tune, or evaluate the provider's models, and whether that use can be contractually excluded rather than merely disabled by a setting.</w:t>
      </w:r>
    </w:p>
    <w:p>
      <w:pPr>
        <w:pStyle w:val="ListParagraph"/>
        <w:numPr>
          <w:ilvl w:val="0"/>
          <w:numId w:val="2"/>
        </w:numPr>
        <w:spacing w:after="70" w:line="276"/>
      </w:pPr>
      <w:r>
        <w:rPr>
          <w:rFonts w:ascii="Calibri" w:cs="Calibri" w:eastAsia="Calibri" w:hAnsi="Calibri"/>
          <w:color w:val="000000"/>
          <w:sz w:val="21"/>
          <w:szCs w:val="21"/>
        </w:rPr>
        <w:t xml:space="preserve">Sub-processors: whether they are disclosed, and whether changes are notified and subject to objection.</w:t>
      </w:r>
    </w:p>
    <w:p>
      <w:pPr>
        <w:pStyle w:val="ListParagraph"/>
        <w:numPr>
          <w:ilvl w:val="0"/>
          <w:numId w:val="2"/>
        </w:numPr>
        <w:spacing w:after="70" w:line="276"/>
      </w:pPr>
      <w:r>
        <w:rPr>
          <w:rFonts w:ascii="Calibri" w:cs="Calibri" w:eastAsia="Calibri" w:hAnsi="Calibri"/>
          <w:color w:val="000000"/>
          <w:sz w:val="21"/>
          <w:szCs w:val="21"/>
        </w:rPr>
        <w:t xml:space="preserve">Security assurance: independently audited attestation such as SOC 2 Type II or ISO/IEC 27001, and where offered ISO/IEC 42001, rather than a self-asserted claim on a marketing page.</w:t>
      </w:r>
    </w:p>
    <w:p>
      <w:pPr>
        <w:pStyle w:val="ListParagraph"/>
        <w:numPr>
          <w:ilvl w:val="0"/>
          <w:numId w:val="2"/>
        </w:numPr>
        <w:spacing w:after="70" w:line="276"/>
      </w:pPr>
      <w:r>
        <w:rPr>
          <w:rFonts w:ascii="Calibri" w:cs="Calibri" w:eastAsia="Calibri" w:hAnsi="Calibri"/>
          <w:color w:val="000000"/>
          <w:sz w:val="21"/>
          <w:szCs w:val="21"/>
        </w:rPr>
        <w:t xml:space="preserve">Breach notification obligations expressed as a contractual timeline, not a best-effort statement.</w:t>
      </w:r>
    </w:p>
    <w:p>
      <w:pPr>
        <w:pStyle w:val="ListParagraph"/>
        <w:numPr>
          <w:ilvl w:val="0"/>
          <w:numId w:val="2"/>
        </w:numPr>
        <w:spacing w:after="70" w:line="276"/>
      </w:pPr>
      <w:r>
        <w:rPr>
          <w:rFonts w:ascii="Calibri" w:cs="Calibri" w:eastAsia="Calibri" w:hAnsi="Calibri"/>
          <w:color w:val="000000"/>
          <w:sz w:val="21"/>
          <w:szCs w:val="21"/>
        </w:rPr>
        <w:t xml:space="preserve">Accessibility conformance evidence, per Section 4.8.</w:t>
      </w:r>
    </w:p>
    <w:p>
      <w:pPr>
        <w:pStyle w:val="ListParagraph"/>
        <w:numPr>
          <w:ilvl w:val="0"/>
          <w:numId w:val="2"/>
        </w:numPr>
        <w:spacing w:after="70" w:line="276"/>
      </w:pPr>
      <w:r>
        <w:rPr>
          <w:rFonts w:ascii="Calibri" w:cs="Calibri" w:eastAsia="Calibri" w:hAnsi="Calibri"/>
          <w:color w:val="000000"/>
          <w:sz w:val="21"/>
          <w:szCs w:val="21"/>
        </w:rPr>
        <w:t xml:space="preserve">Bias, fairness, and disparate-impact evidence where the tool will inform decisions about individuals.</w:t>
      </w:r>
    </w:p>
    <w:p>
      <w:pPr>
        <w:pStyle w:val="ListParagraph"/>
        <w:numPr>
          <w:ilvl w:val="0"/>
          <w:numId w:val="2"/>
        </w:numPr>
        <w:spacing w:after="70" w:line="276"/>
      </w:pPr>
      <w:r>
        <w:rPr>
          <w:rFonts w:ascii="Calibri" w:cs="Calibri" w:eastAsia="Calibri" w:hAnsi="Calibri"/>
          <w:color w:val="000000"/>
          <w:sz w:val="21"/>
          <w:szCs w:val="21"/>
        </w:rPr>
        <w:t xml:space="preserve">Logging and audit access sufficient to satisfy Section 4.10.</w:t>
      </w:r>
    </w:p>
    <w:p>
      <w:pPr>
        <w:pStyle w:val="ListParagraph"/>
        <w:numPr>
          <w:ilvl w:val="0"/>
          <w:numId w:val="2"/>
        </w:numPr>
        <w:spacing w:after="70" w:line="276"/>
      </w:pPr>
      <w:r>
        <w:rPr>
          <w:rFonts w:ascii="Calibri" w:cs="Calibri" w:eastAsia="Calibri" w:hAnsi="Calibri"/>
          <w:color w:val="000000"/>
          <w:sz w:val="21"/>
          <w:szCs w:val="21"/>
        </w:rPr>
        <w:t xml:space="preserve">Exit terms: retrieval and deletion of institutional data on termination, and treatment of the institution's data if the vendor is acquired.</w:t>
      </w:r>
    </w:p>
    <w:p>
      <w:pPr>
        <w:pStyle w:val="Heading3"/>
        <w:spacing w:after="70" w:before="160"/>
      </w:pPr>
      <w:r>
        <w:rPr>
          <w:rFonts w:ascii="Calibri" w:cs="Calibri" w:eastAsia="Calibri" w:hAnsi="Calibri"/>
          <w:b/>
          <w:bCs/>
          <w:i/>
          <w:iCs/>
          <w:color w:val="000000"/>
          <w:sz w:val="21"/>
          <w:szCs w:val="21"/>
        </w:rPr>
        <w:t xml:space="preserve">FERPA school-official designation</w:t>
      </w:r>
    </w:p>
    <w:p>
      <w:pPr>
        <w:spacing w:after="120" w:line="276"/>
      </w:pPr>
      <w:r>
        <w:rPr>
          <w:rFonts w:ascii="Calibri" w:cs="Calibri" w:eastAsia="Calibri" w:hAnsi="Calibri"/>
          <w:color w:val="000000"/>
          <w:sz w:val="21"/>
          <w:szCs w:val="21"/>
        </w:rPr>
        <w:t xml:space="preserve">An AI tool may be used with education records only where the provider has been designated a school official with a legitimate educational interest under 34 CFR 99.31(a)(1)(i)(B), through a written agreement establishing that the provider:</w:t>
      </w:r>
    </w:p>
    <w:p>
      <w:pPr>
        <w:pStyle w:val="ListParagraph"/>
        <w:numPr>
          <w:ilvl w:val="0"/>
          <w:numId w:val="4"/>
        </w:numPr>
        <w:spacing w:after="70" w:line="276"/>
      </w:pPr>
      <w:r>
        <w:rPr>
          <w:rFonts w:ascii="Calibri" w:cs="Calibri" w:eastAsia="Calibri" w:hAnsi="Calibri"/>
          <w:color w:val="000000"/>
          <w:sz w:val="21"/>
          <w:szCs w:val="21"/>
        </w:rPr>
        <w:t xml:space="preserve">performs an institutional service or function for which &lt;Institution Name&gt; would otherwise use employees;</w:t>
      </w:r>
    </w:p>
    <w:p>
      <w:pPr>
        <w:pStyle w:val="ListParagraph"/>
        <w:numPr>
          <w:ilvl w:val="0"/>
          <w:numId w:val="4"/>
        </w:numPr>
        <w:spacing w:after="70" w:line="276"/>
      </w:pPr>
      <w:r>
        <w:rPr>
          <w:rFonts w:ascii="Calibri" w:cs="Calibri" w:eastAsia="Calibri" w:hAnsi="Calibri"/>
          <w:color w:val="000000"/>
          <w:sz w:val="21"/>
          <w:szCs w:val="21"/>
        </w:rPr>
        <w:t xml:space="preserve">is under the direct control of &lt;Institution Name&gt; with respect to the use and maintenance of education records; and</w:t>
      </w:r>
    </w:p>
    <w:p>
      <w:pPr>
        <w:pStyle w:val="ListParagraph"/>
        <w:numPr>
          <w:ilvl w:val="0"/>
          <w:numId w:val="4"/>
        </w:numPr>
        <w:spacing w:after="70" w:line="276"/>
      </w:pPr>
      <w:r>
        <w:rPr>
          <w:rFonts w:ascii="Calibri" w:cs="Calibri" w:eastAsia="Calibri" w:hAnsi="Calibri"/>
          <w:color w:val="000000"/>
          <w:sz w:val="21"/>
          <w:szCs w:val="21"/>
        </w:rPr>
        <w:t xml:space="preserve">is subject to the requirements of 34 CFR 99.33(a) governing use and redisclosure, meaning the provider may use the information only for the purpose for which the disclosure was made and may not redisclose it without consent.</w:t>
      </w:r>
    </w:p>
    <w:p>
      <w:pPr>
        <w:spacing w:after="120" w:line="276"/>
      </w:pPr>
      <w:r>
        <w:rPr>
          <w:rFonts w:ascii="Calibri" w:cs="Calibri" w:eastAsia="Calibri" w:hAnsi="Calibri"/>
          <w:color w:val="000000"/>
          <w:sz w:val="21"/>
          <w:szCs w:val="21"/>
        </w:rPr>
        <w:t xml:space="preserve">The institution's annual FERPA notification must contain criteria consistent with this designation. A provider's marketing claim of "FERPA compliance" does not satisfy this requirement; the executed agreement does. Consumer and individual-subscription tiers cannot satisfy it, because they carry no such contractual commitment.</w:t>
      </w:r>
    </w:p>
    <w:p>
      <w:pPr>
        <w:pStyle w:val="Heading3"/>
        <w:spacing w:after="70" w:before="160"/>
      </w:pPr>
      <w:r>
        <w:rPr>
          <w:rFonts w:ascii="Calibri" w:cs="Calibri" w:eastAsia="Calibri" w:hAnsi="Calibri"/>
          <w:b/>
          <w:bCs/>
          <w:i/>
          <w:iCs/>
          <w:color w:val="000000"/>
          <w:sz w:val="21"/>
          <w:szCs w:val="21"/>
        </w:rPr>
        <w:t xml:space="preserve">Research, sponsor, and export-control review</w:t>
      </w:r>
    </w:p>
    <w:p>
      <w:pPr>
        <w:pStyle w:val="ListParagraph"/>
        <w:numPr>
          <w:ilvl w:val="0"/>
          <w:numId w:val="2"/>
        </w:numPr>
        <w:spacing w:after="70" w:line="276"/>
      </w:pPr>
      <w:r>
        <w:rPr>
          <w:rFonts w:ascii="Calibri" w:cs="Calibri" w:eastAsia="Calibri" w:hAnsi="Calibri"/>
          <w:color w:val="000000"/>
          <w:sz w:val="21"/>
          <w:szCs w:val="21"/>
        </w:rPr>
        <w:t xml:space="preserve">Funder and sponsor AI guidance must be checked before AI tools are used in proposal preparation, peer review, or award reporting. Several federal sponsors restrict AI use in reviewing or preparing certain materials.</w:t>
      </w:r>
    </w:p>
    <w:p>
      <w:pPr>
        <w:pStyle w:val="ListParagraph"/>
        <w:numPr>
          <w:ilvl w:val="0"/>
          <w:numId w:val="2"/>
        </w:numPr>
        <w:spacing w:after="70" w:line="276"/>
      </w:pPr>
      <w:r>
        <w:rPr>
          <w:rFonts w:ascii="Calibri" w:cs="Calibri" w:eastAsia="Calibri" w:hAnsi="Calibri"/>
          <w:color w:val="000000"/>
          <w:sz w:val="21"/>
          <w:szCs w:val="21"/>
        </w:rPr>
        <w:t xml:space="preserve">Data governed by an IRB or IACUC protocol, a data use agreement, or a confidentiality agreement may not be entered into any AI tool unless the protocol or agreement permits it and the tool is approved for that data category. Where a protocol is silent, the answer is no until the protocol is amended.</w:t>
      </w:r>
    </w:p>
    <w:p>
      <w:pPr>
        <w:pStyle w:val="ListParagraph"/>
        <w:numPr>
          <w:ilvl w:val="0"/>
          <w:numId w:val="2"/>
        </w:numPr>
        <w:spacing w:after="70" w:line="276"/>
      </w:pPr>
      <w:r>
        <w:rPr>
          <w:rFonts w:ascii="Calibri" w:cs="Calibri" w:eastAsia="Calibri" w:hAnsi="Calibri"/>
          <w:color w:val="000000"/>
          <w:sz w:val="21"/>
          <w:szCs w:val="21"/>
        </w:rPr>
        <w:t xml:space="preserve">Export-controlled or ITAR/EAR-governed technical data may not be entered into any AI tool without written clearance from &lt;Export Control Officer&gt;. Submission to a service with foreign-national personnel access or non-U.S. processing may constitute an export.</w:t>
      </w:r>
    </w:p>
    <w:p>
      <w:pPr>
        <w:pStyle w:val="ListParagraph"/>
        <w:numPr>
          <w:ilvl w:val="0"/>
          <w:numId w:val="2"/>
        </w:numPr>
        <w:spacing w:after="70" w:line="276"/>
      </w:pPr>
      <w:r>
        <w:rPr>
          <w:rFonts w:ascii="Calibri" w:cs="Calibri" w:eastAsia="Calibri" w:hAnsi="Calibri"/>
          <w:color w:val="000000"/>
          <w:sz w:val="21"/>
          <w:szCs w:val="21"/>
        </w:rPr>
        <w:t xml:space="preserve">An AI system may not be listed as an author, co-author, or inventor. Substantive AI assistance is disclosed in the manner required by the publisher, sponsor, or the institution's research integrity policy.</w:t>
      </w:r>
    </w:p>
    <w:p>
      <w:pPr>
        <w:pStyle w:val="Heading2"/>
        <w:spacing w:after="90" w:before="220"/>
      </w:pPr>
      <w:r>
        <w:rPr>
          <w:rFonts w:ascii="Calibri" w:cs="Calibri" w:eastAsia="Calibri" w:hAnsi="Calibri"/>
          <w:b/>
          <w:bCs/>
          <w:color w:val="000000"/>
          <w:sz w:val="23"/>
          <w:szCs w:val="23"/>
        </w:rPr>
        <w:t xml:space="preserve">4.5 Verification of Output</w:t>
      </w:r>
    </w:p>
    <w:p>
      <w:pPr>
        <w:spacing w:after="120" w:line="276"/>
      </w:pPr>
      <w:r>
        <w:rPr>
          <w:rFonts w:ascii="Calibri" w:cs="Calibri" w:eastAsia="Calibri" w:hAnsi="Calibri"/>
          <w:color w:val="000000"/>
          <w:sz w:val="21"/>
          <w:szCs w:val="21"/>
        </w:rPr>
        <w:t xml:space="preserve">Treat every AI output as unverified draft material and as untrusted input to whatever consumes it next.</w:t>
      </w:r>
    </w:p>
    <w:p>
      <w:pPr>
        <w:pStyle w:val="ListParagraph"/>
        <w:numPr>
          <w:ilvl w:val="0"/>
          <w:numId w:val="2"/>
        </w:numPr>
        <w:spacing w:after="70" w:line="276"/>
      </w:pPr>
      <w:r>
        <w:rPr>
          <w:rFonts w:ascii="Calibri" w:cs="Calibri" w:eastAsia="Calibri" w:hAnsi="Calibri"/>
          <w:b/>
          <w:bCs/>
          <w:color w:val="000000"/>
          <w:sz w:val="21"/>
          <w:szCs w:val="21"/>
        </w:rPr>
        <w:t xml:space="preserve">Facts, figures, citations, and quotations </w:t>
      </w:r>
      <w:r>
        <w:rPr>
          <w:rFonts w:ascii="Calibri" w:cs="Calibri" w:eastAsia="Calibri" w:hAnsi="Calibri"/>
          <w:color w:val="000000"/>
          <w:sz w:val="21"/>
          <w:szCs w:val="21"/>
        </w:rPr>
        <w:t xml:space="preserve">must be verified against the underlying source before use in any filing, grant application, publication, contract, official communication, accreditation submission, or student-facing document. Fabricated citations to non-existent sources are a known and recurring failure mode.</w:t>
      </w:r>
    </w:p>
    <w:p>
      <w:pPr>
        <w:pStyle w:val="ListParagraph"/>
        <w:numPr>
          <w:ilvl w:val="0"/>
          <w:numId w:val="2"/>
        </w:numPr>
        <w:spacing w:after="70" w:line="276"/>
      </w:pPr>
      <w:r>
        <w:rPr>
          <w:rFonts w:ascii="Calibri" w:cs="Calibri" w:eastAsia="Calibri" w:hAnsi="Calibri"/>
          <w:b/>
          <w:bCs/>
          <w:color w:val="000000"/>
          <w:sz w:val="21"/>
          <w:szCs w:val="21"/>
        </w:rPr>
        <w:t xml:space="preserve">Code </w:t>
      </w:r>
      <w:r>
        <w:rPr>
          <w:rFonts w:ascii="Calibri" w:cs="Calibri" w:eastAsia="Calibri" w:hAnsi="Calibri"/>
          <w:color w:val="000000"/>
          <w:sz w:val="21"/>
          <w:szCs w:val="21"/>
        </w:rPr>
        <w:t xml:space="preserve">must be reviewed before it is merged or run, including every suggested dependency. Package names suggested by a model may not exist or may have been registered by a third party.</w:t>
      </w:r>
    </w:p>
    <w:p>
      <w:pPr>
        <w:pStyle w:val="ListParagraph"/>
        <w:numPr>
          <w:ilvl w:val="0"/>
          <w:numId w:val="2"/>
        </w:numPr>
        <w:spacing w:after="70" w:line="276"/>
      </w:pPr>
      <w:r>
        <w:rPr>
          <w:rFonts w:ascii="Calibri" w:cs="Calibri" w:eastAsia="Calibri" w:hAnsi="Calibri"/>
          <w:b/>
          <w:bCs/>
          <w:color w:val="000000"/>
          <w:sz w:val="21"/>
          <w:szCs w:val="21"/>
        </w:rPr>
        <w:t xml:space="preserve">Links and commands </w:t>
      </w:r>
      <w:r>
        <w:rPr>
          <w:rFonts w:ascii="Calibri" w:cs="Calibri" w:eastAsia="Calibri" w:hAnsi="Calibri"/>
          <w:color w:val="000000"/>
          <w:sz w:val="21"/>
          <w:szCs w:val="21"/>
        </w:rPr>
        <w:t xml:space="preserve">produced by an AI tool must not be opened or executed without inspection.</w:t>
      </w:r>
    </w:p>
    <w:p>
      <w:pPr>
        <w:pStyle w:val="ListParagraph"/>
        <w:numPr>
          <w:ilvl w:val="0"/>
          <w:numId w:val="2"/>
        </w:numPr>
        <w:spacing w:after="70" w:line="276"/>
      </w:pPr>
      <w:r>
        <w:rPr>
          <w:rFonts w:ascii="Calibri" w:cs="Calibri" w:eastAsia="Calibri" w:hAnsi="Calibri"/>
          <w:b/>
          <w:bCs/>
          <w:color w:val="000000"/>
          <w:sz w:val="21"/>
          <w:szCs w:val="21"/>
        </w:rPr>
        <w:t xml:space="preserve">Legal, medical, financial, immigration, and mental-health guidance </w:t>
      </w:r>
      <w:r>
        <w:rPr>
          <w:rFonts w:ascii="Calibri" w:cs="Calibri" w:eastAsia="Calibri" w:hAnsi="Calibri"/>
          <w:color w:val="000000"/>
          <w:sz w:val="21"/>
          <w:szCs w:val="21"/>
        </w:rPr>
        <w:t xml:space="preserve">must not be delivered to any member of the community on the basis of AI output without review by the qualified office responsible for that subject matter.</w:t>
      </w:r>
    </w:p>
    <w:p>
      <w:pPr>
        <w:pStyle w:val="Heading2"/>
        <w:spacing w:after="90" w:before="220"/>
      </w:pPr>
      <w:r>
        <w:rPr>
          <w:rFonts w:ascii="Calibri" w:cs="Calibri" w:eastAsia="Calibri" w:hAnsi="Calibri"/>
          <w:b/>
          <w:bCs/>
          <w:color w:val="000000"/>
          <w:sz w:val="23"/>
          <w:szCs w:val="23"/>
        </w:rPr>
        <w:t xml:space="preserve">4.6 Teaching, Learning, and Academic Integrity</w:t>
      </w:r>
    </w:p>
    <w:p>
      <w:pPr>
        <w:pStyle w:val="ListParagraph"/>
        <w:numPr>
          <w:ilvl w:val="0"/>
          <w:numId w:val="2"/>
        </w:numPr>
        <w:spacing w:after="70" w:line="276"/>
      </w:pPr>
      <w:r>
        <w:rPr>
          <w:rFonts w:ascii="Calibri" w:cs="Calibri" w:eastAsia="Calibri" w:hAnsi="Calibri"/>
          <w:color w:val="000000"/>
          <w:sz w:val="21"/>
          <w:szCs w:val="21"/>
        </w:rPr>
        <w:t xml:space="preserve">Instructors of record set the rules for AI use in their own courses. Those rules must be stated explicitly in the syllabus and in assignment instructions, and must be consistent with this policy and the institution's academic integrity policy. Where a syllabus is silent, students should ask rather than assume.</w:t>
      </w:r>
    </w:p>
    <w:p>
      <w:pPr>
        <w:pStyle w:val="ListParagraph"/>
        <w:numPr>
          <w:ilvl w:val="0"/>
          <w:numId w:val="2"/>
        </w:numPr>
        <w:spacing w:after="70" w:line="276"/>
      </w:pPr>
      <w:r>
        <w:rPr>
          <w:rFonts w:ascii="Calibri" w:cs="Calibri" w:eastAsia="Calibri" w:hAnsi="Calibri"/>
          <w:color w:val="000000"/>
          <w:sz w:val="21"/>
          <w:szCs w:val="21"/>
        </w:rPr>
        <w:t xml:space="preserve">Faculty who use AI to produce instructional materials, assessments, or rubrics are encouraged to disclose that use, both as a matter of modeling integrity and because Section 4.5 verification obligations still apply to those materials.</w:t>
      </w:r>
    </w:p>
    <w:p>
      <w:pPr>
        <w:pStyle w:val="ListParagraph"/>
        <w:numPr>
          <w:ilvl w:val="0"/>
          <w:numId w:val="2"/>
        </w:numPr>
        <w:spacing w:after="70" w:line="276"/>
      </w:pPr>
      <w:r>
        <w:rPr>
          <w:rFonts w:ascii="Calibri" w:cs="Calibri" w:eastAsia="Calibri" w:hAnsi="Calibri"/>
          <w:b/>
          <w:bCs/>
          <w:color w:val="000000"/>
          <w:sz w:val="21"/>
          <w:szCs w:val="21"/>
        </w:rPr>
        <w:t xml:space="preserve">AI detection output may not be used as the sole basis for an academic integrity finding or sanction. </w:t>
      </w:r>
      <w:r>
        <w:rPr>
          <w:rFonts w:ascii="Calibri" w:cs="Calibri" w:eastAsia="Calibri" w:hAnsi="Calibri"/>
          <w:color w:val="000000"/>
          <w:sz w:val="21"/>
          <w:szCs w:val="21"/>
        </w:rPr>
        <w:t xml:space="preserve">Detection tools produce false positives, and published evaluations have identified elevated false-positive rates for non-native English writers and for some assistive-technology users. A detector result may prompt an inquiry; the finding must rest on evidence developed through the institution's normal academic integrity process, in which the student receives notice and an opportunity to respond.</w:t>
      </w:r>
    </w:p>
    <w:p>
      <w:pPr>
        <w:pStyle w:val="ListParagraph"/>
        <w:numPr>
          <w:ilvl w:val="0"/>
          <w:numId w:val="2"/>
        </w:numPr>
        <w:spacing w:after="70" w:line="276"/>
      </w:pPr>
      <w:r>
        <w:rPr>
          <w:rFonts w:ascii="Calibri" w:cs="Calibri" w:eastAsia="Calibri" w:hAnsi="Calibri"/>
          <w:color w:val="000000"/>
          <w:sz w:val="21"/>
          <w:szCs w:val="21"/>
        </w:rPr>
        <w:t xml:space="preserve">Student work once submitted to the institution, and grades, feedback, and assessment records, are education records. Faculty, staff, and student employees may not submit them to an AI tool that has not been approved for Restricted data, including for grading, feedback generation, or similarity checking. This rule governs institutional handling of student work; a student's use of AI with their own unsubmitted work is governed by the course rules in this section and by Section 3.1.</w:t>
      </w:r>
    </w:p>
    <w:p>
      <w:pPr>
        <w:pStyle w:val="ListParagraph"/>
        <w:numPr>
          <w:ilvl w:val="0"/>
          <w:numId w:val="2"/>
        </w:numPr>
        <w:spacing w:after="70" w:line="276"/>
      </w:pPr>
      <w:r>
        <w:rPr>
          <w:rFonts w:ascii="Calibri" w:cs="Calibri" w:eastAsia="Calibri" w:hAnsi="Calibri"/>
          <w:color w:val="000000"/>
          <w:sz w:val="21"/>
          <w:szCs w:val="21"/>
        </w:rPr>
        <w:t xml:space="preserve">Where AI is used in a way that materially affects a student's academic experience or record, students must be informed.</w:t>
      </w:r>
    </w:p>
    <w:p>
      <w:pPr>
        <w:pStyle w:val="Heading2"/>
        <w:spacing w:after="90" w:before="220"/>
      </w:pPr>
      <w:r>
        <w:rPr>
          <w:rFonts w:ascii="Calibri" w:cs="Calibri" w:eastAsia="Calibri" w:hAnsi="Calibri"/>
          <w:b/>
          <w:bCs/>
          <w:color w:val="000000"/>
          <w:sz w:val="23"/>
          <w:szCs w:val="23"/>
        </w:rPr>
        <w:t xml:space="preserve">4.7 Human Oversight of Consequential Decisions</w:t>
      </w:r>
    </w:p>
    <w:p>
      <w:pPr>
        <w:spacing w:after="120" w:line="276"/>
      </w:pPr>
      <w:r>
        <w:rPr>
          <w:rFonts w:ascii="Calibri" w:cs="Calibri" w:eastAsia="Calibri" w:hAnsi="Calibri"/>
          <w:color w:val="000000"/>
          <w:sz w:val="21"/>
          <w:szCs w:val="21"/>
        </w:rPr>
        <w:t xml:space="preserve">AI may support, but may not determine, a decision that materially affects an individual's rights, status, opportunities, or access to services. A qualified employee must review the underlying facts, hold the authority to reach a different conclusion, and be accountable for the outcome. Review that consists only of ratifying an AI recommendation does not satisfy this requirement.</w:t>
      </w:r>
    </w:p>
    <w:p>
      <w:pPr>
        <w:spacing w:after="120" w:line="276"/>
      </w:pPr>
      <w:r>
        <w:rPr>
          <w:rFonts w:ascii="Calibri" w:cs="Calibri" w:eastAsia="Calibri" w:hAnsi="Calibri"/>
          <w:color w:val="000000"/>
          <w:sz w:val="21"/>
          <w:szCs w:val="21"/>
        </w:rPr>
        <w:t xml:space="preserve">Consequential decisions include, but are not limited to:</w:t>
      </w:r>
    </w:p>
    <w:p>
      <w:pPr>
        <w:pStyle w:val="ListParagraph"/>
        <w:numPr>
          <w:ilvl w:val="0"/>
          <w:numId w:val="2"/>
        </w:numPr>
        <w:spacing w:after="70" w:line="276"/>
      </w:pPr>
      <w:r>
        <w:rPr>
          <w:rFonts w:ascii="Calibri" w:cs="Calibri" w:eastAsia="Calibri" w:hAnsi="Calibri"/>
          <w:color w:val="000000"/>
          <w:sz w:val="21"/>
          <w:szCs w:val="21"/>
        </w:rPr>
        <w:t xml:space="preserve">Admissions, readmission, denial, dismissal, and academic standing.</w:t>
      </w:r>
    </w:p>
    <w:p>
      <w:pPr>
        <w:pStyle w:val="ListParagraph"/>
        <w:numPr>
          <w:ilvl w:val="0"/>
          <w:numId w:val="2"/>
        </w:numPr>
        <w:spacing w:after="70" w:line="276"/>
      </w:pPr>
      <w:r>
        <w:rPr>
          <w:rFonts w:ascii="Calibri" w:cs="Calibri" w:eastAsia="Calibri" w:hAnsi="Calibri"/>
          <w:color w:val="000000"/>
          <w:sz w:val="21"/>
          <w:szCs w:val="21"/>
        </w:rPr>
        <w:t xml:space="preserve">Financial aid awards, eligibility, and verification.</w:t>
      </w:r>
    </w:p>
    <w:p>
      <w:pPr>
        <w:pStyle w:val="ListParagraph"/>
        <w:numPr>
          <w:ilvl w:val="0"/>
          <w:numId w:val="2"/>
        </w:numPr>
        <w:spacing w:after="70" w:line="276"/>
      </w:pPr>
      <w:r>
        <w:rPr>
          <w:rFonts w:ascii="Calibri" w:cs="Calibri" w:eastAsia="Calibri" w:hAnsi="Calibri"/>
          <w:color w:val="000000"/>
          <w:sz w:val="21"/>
          <w:szCs w:val="21"/>
        </w:rPr>
        <w:t xml:space="preserve">Grading, degree progress, and credentialing.</w:t>
      </w:r>
    </w:p>
    <w:p>
      <w:pPr>
        <w:pStyle w:val="ListParagraph"/>
        <w:numPr>
          <w:ilvl w:val="0"/>
          <w:numId w:val="2"/>
        </w:numPr>
        <w:spacing w:after="70" w:line="276"/>
      </w:pPr>
      <w:r>
        <w:rPr>
          <w:rFonts w:ascii="Calibri" w:cs="Calibri" w:eastAsia="Calibri" w:hAnsi="Calibri"/>
          <w:color w:val="000000"/>
          <w:sz w:val="21"/>
          <w:szCs w:val="21"/>
        </w:rPr>
        <w:t xml:space="preserve">Student conduct and academic integrity findings.</w:t>
      </w:r>
    </w:p>
    <w:p>
      <w:pPr>
        <w:pStyle w:val="ListParagraph"/>
        <w:numPr>
          <w:ilvl w:val="0"/>
          <w:numId w:val="2"/>
        </w:numPr>
        <w:spacing w:after="70" w:line="276"/>
      </w:pPr>
      <w:r>
        <w:rPr>
          <w:rFonts w:ascii="Calibri" w:cs="Calibri" w:eastAsia="Calibri" w:hAnsi="Calibri"/>
          <w:color w:val="000000"/>
          <w:sz w:val="21"/>
          <w:szCs w:val="21"/>
        </w:rPr>
        <w:t xml:space="preserve">Recruitment, hiring, promotion, evaluation, discipline, and termination.</w:t>
      </w:r>
    </w:p>
    <w:p>
      <w:pPr>
        <w:pStyle w:val="ListParagraph"/>
        <w:numPr>
          <w:ilvl w:val="0"/>
          <w:numId w:val="2"/>
        </w:numPr>
        <w:spacing w:after="70" w:line="276"/>
      </w:pPr>
      <w:r>
        <w:rPr>
          <w:rFonts w:ascii="Calibri" w:cs="Calibri" w:eastAsia="Calibri" w:hAnsi="Calibri"/>
          <w:color w:val="000000"/>
          <w:sz w:val="21"/>
          <w:szCs w:val="21"/>
        </w:rPr>
        <w:t xml:space="preserve">Accommodation determinations under the ADA or Section 504.</w:t>
      </w:r>
    </w:p>
    <w:p>
      <w:pPr>
        <w:pStyle w:val="ListParagraph"/>
        <w:numPr>
          <w:ilvl w:val="0"/>
          <w:numId w:val="2"/>
        </w:numPr>
        <w:spacing w:after="70" w:line="276"/>
      </w:pPr>
      <w:r>
        <w:rPr>
          <w:rFonts w:ascii="Calibri" w:cs="Calibri" w:eastAsia="Calibri" w:hAnsi="Calibri"/>
          <w:color w:val="000000"/>
          <w:sz w:val="21"/>
          <w:szCs w:val="21"/>
        </w:rPr>
        <w:t xml:space="preserve">Housing, scholarship, and program eligibility.</w:t>
      </w:r>
    </w:p>
    <w:p>
      <w:pPr>
        <w:pStyle w:val="ListParagraph"/>
        <w:numPr>
          <w:ilvl w:val="0"/>
          <w:numId w:val="2"/>
        </w:numPr>
        <w:spacing w:after="70" w:line="276"/>
      </w:pPr>
      <w:r>
        <w:rPr>
          <w:rFonts w:ascii="Calibri" w:cs="Calibri" w:eastAsia="Calibri" w:hAnsi="Calibri"/>
          <w:color w:val="000000"/>
          <w:sz w:val="21"/>
          <w:szCs w:val="21"/>
        </w:rPr>
        <w:t xml:space="preserve">Medical, counseling, or mental-health assessment, triage, or advice.</w:t>
      </w:r>
    </w:p>
    <w:p>
      <w:pPr>
        <w:pStyle w:val="ListParagraph"/>
        <w:numPr>
          <w:ilvl w:val="0"/>
          <w:numId w:val="2"/>
        </w:numPr>
        <w:spacing w:after="70" w:line="276"/>
      </w:pPr>
      <w:r>
        <w:rPr>
          <w:rFonts w:ascii="Calibri" w:cs="Calibri" w:eastAsia="Calibri" w:hAnsi="Calibri"/>
          <w:color w:val="000000"/>
          <w:sz w:val="21"/>
          <w:szCs w:val="21"/>
        </w:rPr>
        <w:t xml:space="preserve">Behavioral intervention, threat assessment, and law-enforcement referral.</w:t>
      </w:r>
    </w:p>
    <w:p>
      <w:pPr>
        <w:pStyle w:val="ListParagraph"/>
        <w:numPr>
          <w:ilvl w:val="0"/>
          <w:numId w:val="2"/>
        </w:numPr>
        <w:spacing w:after="70" w:line="276"/>
      </w:pPr>
      <w:r>
        <w:rPr>
          <w:rFonts w:ascii="Calibri" w:cs="Calibri" w:eastAsia="Calibri" w:hAnsi="Calibri"/>
          <w:color w:val="000000"/>
          <w:sz w:val="21"/>
          <w:szCs w:val="21"/>
        </w:rPr>
        <w:t xml:space="preserve">Any determination that conditions, denies, or withdraws access to an institutional service or benefit.</w:t>
      </w:r>
    </w:p>
    <w:p>
      <w:pPr>
        <w:spacing w:after="120" w:line="276"/>
      </w:pPr>
      <w:r>
        <w:rPr>
          <w:rFonts w:ascii="Calibri" w:cs="Calibri" w:eastAsia="Calibri" w:hAnsi="Calibri"/>
          <w:color w:val="000000"/>
          <w:sz w:val="21"/>
          <w:szCs w:val="21"/>
        </w:rPr>
        <w:t xml:space="preserve">Any AI system proposed for use in these areas requires review and written approval by the &lt;AI Governance Owner&gt; before procurement, development, deployment, or use, and must be documented with its purpose, data sources, the human review step, and a route by which an affected individual can question the outcome. Individuals affected by such a decision must be able to learn that an AI system was used and to seek human reconsideration.</w:t>
      </w:r>
    </w:p>
    <w:p>
      <w:pPr>
        <w:pStyle w:val="Heading2"/>
        <w:spacing w:after="90" w:before="220"/>
      </w:pPr>
      <w:r>
        <w:rPr>
          <w:rFonts w:ascii="Calibri" w:cs="Calibri" w:eastAsia="Calibri" w:hAnsi="Calibri"/>
          <w:b/>
          <w:bCs/>
          <w:color w:val="000000"/>
          <w:sz w:val="23"/>
          <w:szCs w:val="23"/>
        </w:rPr>
        <w:t xml:space="preserve">4.8 Accessibility and Nondiscrimination</w:t>
      </w:r>
    </w:p>
    <w:p>
      <w:pPr>
        <w:pStyle w:val="ListParagraph"/>
        <w:numPr>
          <w:ilvl w:val="0"/>
          <w:numId w:val="2"/>
        </w:numPr>
        <w:spacing w:after="70" w:line="276"/>
      </w:pPr>
      <w:r>
        <w:rPr>
          <w:rFonts w:ascii="Calibri" w:cs="Calibri" w:eastAsia="Calibri" w:hAnsi="Calibri"/>
          <w:color w:val="000000"/>
          <w:sz w:val="21"/>
          <w:szCs w:val="21"/>
        </w:rPr>
        <w:t xml:space="preserve">AI tools procured or deployed for institutional use must conform to WCAG 2.1 Level AA and applicable Section 508 standards, evidenced by current conformance documentation. Where a tool cannot conform, an equally effective alternative access route must be documented and available before deployment.</w:t>
      </w:r>
    </w:p>
    <w:p>
      <w:pPr>
        <w:pStyle w:val="ListParagraph"/>
        <w:numPr>
          <w:ilvl w:val="0"/>
          <w:numId w:val="2"/>
        </w:numPr>
        <w:spacing w:after="70" w:line="276"/>
      </w:pPr>
      <w:r>
        <w:rPr>
          <w:rFonts w:ascii="Calibri" w:cs="Calibri" w:eastAsia="Calibri" w:hAnsi="Calibri"/>
          <w:color w:val="000000"/>
          <w:sz w:val="21"/>
          <w:szCs w:val="21"/>
        </w:rPr>
        <w:t xml:space="preserve">AI-generated public-facing and instructional content must meet the institution's accessibility standards. AI-generated alternative text, captions, and transcripts must be reviewed for accuracy before publication; automated captioning is a starting point and not a substitute for the institution's accessibility obligations.</w:t>
      </w:r>
    </w:p>
    <w:p>
      <w:pPr>
        <w:pStyle w:val="ListParagraph"/>
        <w:numPr>
          <w:ilvl w:val="0"/>
          <w:numId w:val="2"/>
        </w:numPr>
        <w:spacing w:after="70" w:line="276"/>
      </w:pPr>
      <w:r>
        <w:rPr>
          <w:rFonts w:ascii="Calibri" w:cs="Calibri" w:eastAsia="Calibri" w:hAnsi="Calibri"/>
          <w:color w:val="000000"/>
          <w:sz w:val="21"/>
          <w:szCs w:val="21"/>
        </w:rPr>
        <w:t xml:space="preserve">Assistive AI used by an individual as an accommodation is governed by the institution's disability services process and is not restricted by this policy beyond the data rules in Section 4.2.</w:t>
      </w:r>
    </w:p>
    <w:p>
      <w:pPr>
        <w:pStyle w:val="ListParagraph"/>
        <w:numPr>
          <w:ilvl w:val="0"/>
          <w:numId w:val="2"/>
        </w:numPr>
        <w:spacing w:after="70" w:line="276"/>
      </w:pPr>
      <w:r>
        <w:rPr>
          <w:rFonts w:ascii="Calibri" w:cs="Calibri" w:eastAsia="Calibri" w:hAnsi="Calibri"/>
          <w:color w:val="000000"/>
          <w:sz w:val="21"/>
          <w:szCs w:val="21"/>
        </w:rPr>
        <w:t xml:space="preserve">AI systems that produce materially different outcomes across protected classes may create exposure under Title VI, Title VII, Title IX, the ADA, and the Age Discrimination Act. Systems informing consequential decisions must be evaluated for disparate impact before deployment and reviewed periodically thereafter.</w:t>
      </w:r>
    </w:p>
    <w:p>
      <w:pPr>
        <w:pStyle w:val="Heading2"/>
        <w:spacing w:after="90" w:before="220"/>
      </w:pPr>
      <w:r>
        <w:rPr>
          <w:rFonts w:ascii="Calibri" w:cs="Calibri" w:eastAsia="Calibri" w:hAnsi="Calibri"/>
          <w:b/>
          <w:bCs/>
          <w:color w:val="000000"/>
          <w:sz w:val="23"/>
          <w:szCs w:val="23"/>
        </w:rPr>
        <w:t xml:space="preserve">4.9 Agentic and Automated AI Systems</w:t>
      </w:r>
    </w:p>
    <w:p>
      <w:pPr>
        <w:spacing w:after="120" w:line="276"/>
      </w:pPr>
      <w:r>
        <w:rPr>
          <w:rFonts w:ascii="Calibri" w:cs="Calibri" w:eastAsia="Calibri" w:hAnsi="Calibri"/>
          <w:color w:val="000000"/>
          <w:sz w:val="21"/>
          <w:szCs w:val="21"/>
        </w:rPr>
        <w:t xml:space="preserve">Additional controls apply to AI systems that take actions rather than only produce text, including systems that send messages, modify records, execute code, invoke other tools, or run multi-step tasks without a person approving each step.</w:t>
      </w:r>
    </w:p>
    <w:p>
      <w:pPr>
        <w:pStyle w:val="ListParagraph"/>
        <w:numPr>
          <w:ilvl w:val="0"/>
          <w:numId w:val="2"/>
        </w:numPr>
        <w:spacing w:after="70" w:line="276"/>
      </w:pPr>
      <w:r>
        <w:rPr>
          <w:rFonts w:ascii="Calibri" w:cs="Calibri" w:eastAsia="Calibri" w:hAnsi="Calibri"/>
          <w:color w:val="000000"/>
          <w:sz w:val="21"/>
          <w:szCs w:val="21"/>
        </w:rPr>
        <w:t xml:space="preserve">Each agent operates under its own identity with credentials that are scoped, time-limited, and revocable. Agents may not operate on borrowed human sessions or shared service accounts.</w:t>
      </w:r>
    </w:p>
    <w:p>
      <w:pPr>
        <w:pStyle w:val="ListParagraph"/>
        <w:numPr>
          <w:ilvl w:val="0"/>
          <w:numId w:val="2"/>
        </w:numPr>
        <w:spacing w:after="70" w:line="276"/>
      </w:pPr>
      <w:r>
        <w:rPr>
          <w:rFonts w:ascii="Calibri" w:cs="Calibri" w:eastAsia="Calibri" w:hAnsi="Calibri"/>
          <w:color w:val="000000"/>
          <w:sz w:val="21"/>
          <w:szCs w:val="21"/>
        </w:rPr>
        <w:t xml:space="preserve">Authorization is enforced at the resource, not assumed from the agent, so that a compromised agent cannot reach data it was never granted.</w:t>
      </w:r>
    </w:p>
    <w:p>
      <w:pPr>
        <w:pStyle w:val="ListParagraph"/>
        <w:numPr>
          <w:ilvl w:val="0"/>
          <w:numId w:val="2"/>
        </w:numPr>
        <w:spacing w:after="70" w:line="276"/>
      </w:pPr>
      <w:r>
        <w:rPr>
          <w:rFonts w:ascii="Calibri" w:cs="Calibri" w:eastAsia="Calibri" w:hAnsi="Calibri"/>
          <w:b/>
          <w:bCs/>
          <w:color w:val="000000"/>
          <w:sz w:val="21"/>
          <w:szCs w:val="21"/>
        </w:rPr>
        <w:t xml:space="preserve">A human approval gate is required before any irreversible, financial, externally visible, or record-altering action. </w:t>
      </w:r>
      <w:r>
        <w:rPr>
          <w:rFonts w:ascii="Calibri" w:cs="Calibri" w:eastAsia="Calibri" w:hAnsi="Calibri"/>
          <w:color w:val="000000"/>
          <w:sz w:val="21"/>
          <w:szCs w:val="21"/>
        </w:rPr>
        <w:t xml:space="preserve">Particular caution applies to any agent that simultaneously (a) can access non-public institutional data, (b) processes content that an outside party can influence, such as inbound email, web pages, uploaded files, or discussion posts, and (c) can send information outside the institution. Where all three are present in one workflow, a human must approve the outbound step.</w:t>
      </w:r>
    </w:p>
    <w:p>
      <w:pPr>
        <w:pStyle w:val="ListParagraph"/>
        <w:numPr>
          <w:ilvl w:val="0"/>
          <w:numId w:val="2"/>
        </w:numPr>
        <w:spacing w:after="70" w:line="276"/>
      </w:pPr>
      <w:r>
        <w:rPr>
          <w:rFonts w:ascii="Calibri" w:cs="Calibri" w:eastAsia="Calibri" w:hAnsi="Calibri"/>
          <w:color w:val="000000"/>
          <w:sz w:val="21"/>
          <w:szCs w:val="21"/>
        </w:rPr>
        <w:t xml:space="preserve">Content retrieved by an AI system is data, not instruction. Systems must be configured so that instructions embedded in retrieved documents, messages, or web content are not executed.</w:t>
      </w:r>
    </w:p>
    <w:p>
      <w:pPr>
        <w:pStyle w:val="ListParagraph"/>
        <w:numPr>
          <w:ilvl w:val="0"/>
          <w:numId w:val="2"/>
        </w:numPr>
        <w:spacing w:after="70" w:line="276"/>
      </w:pPr>
      <w:r>
        <w:rPr>
          <w:rFonts w:ascii="Calibri" w:cs="Calibri" w:eastAsia="Calibri" w:hAnsi="Calibri"/>
          <w:color w:val="000000"/>
          <w:sz w:val="21"/>
          <w:szCs w:val="21"/>
        </w:rPr>
        <w:t xml:space="preserve">Agentic systems are tested adversarially before deployment and after material change, and are subject to the logging requirements in Section 4.10.</w:t>
      </w:r>
    </w:p>
    <w:p>
      <w:pPr>
        <w:pStyle w:val="Heading2"/>
        <w:spacing w:after="90" w:before="220"/>
      </w:pPr>
      <w:r>
        <w:rPr>
          <w:rFonts w:ascii="Calibri" w:cs="Calibri" w:eastAsia="Calibri" w:hAnsi="Calibri"/>
          <w:b/>
          <w:bCs/>
          <w:color w:val="000000"/>
          <w:sz w:val="23"/>
          <w:szCs w:val="23"/>
        </w:rPr>
        <w:t xml:space="preserve">4.10 Logging, Records, and Legal Hold</w:t>
      </w:r>
    </w:p>
    <w:p>
      <w:pPr>
        <w:pStyle w:val="ListParagraph"/>
        <w:numPr>
          <w:ilvl w:val="0"/>
          <w:numId w:val="2"/>
        </w:numPr>
        <w:spacing w:after="70" w:line="276"/>
      </w:pPr>
      <w:r>
        <w:rPr>
          <w:rFonts w:ascii="Calibri" w:cs="Calibri" w:eastAsia="Calibri" w:hAnsi="Calibri"/>
          <w:color w:val="000000"/>
          <w:sz w:val="21"/>
          <w:szCs w:val="21"/>
        </w:rPr>
        <w:t xml:space="preserve">AI tools approved for Amber or Restricted data must produce records sufficient to reconstruct who prompted the system and when, under which identity, what data the system retrieved, what actions it took and under whose authority, and how long those records are retained and who may read them.</w:t>
      </w:r>
    </w:p>
    <w:p>
      <w:pPr>
        <w:pStyle w:val="ListParagraph"/>
        <w:numPr>
          <w:ilvl w:val="0"/>
          <w:numId w:val="2"/>
        </w:numPr>
        <w:spacing w:after="70" w:line="276"/>
      </w:pPr>
      <w:r>
        <w:rPr>
          <w:rFonts w:ascii="Calibri" w:cs="Calibri" w:eastAsia="Calibri" w:hAnsi="Calibri"/>
          <w:b/>
          <w:bCs/>
          <w:color w:val="000000"/>
          <w:sz w:val="21"/>
          <w:szCs w:val="21"/>
        </w:rPr>
        <w:t xml:space="preserve">Records created or received using AI tools in the course of institutional business are institutional records </w:t>
      </w:r>
      <w:r>
        <w:rPr>
          <w:rFonts w:ascii="Calibri" w:cs="Calibri" w:eastAsia="Calibri" w:hAnsi="Calibri"/>
          <w:color w:val="000000"/>
          <w:sz w:val="21"/>
          <w:szCs w:val="21"/>
        </w:rPr>
        <w:t xml:space="preserve">and are subject to the institution's records retention schedule, litigation hold obligations, and, for public institutions, applicable state public records law. Content held in a personal AI account may still be a public record while being practically impossible for the institution to produce; this is a principal reason personal accounts are prohibited for Amber and Restricted data.</w:t>
      </w:r>
    </w:p>
    <w:p>
      <w:pPr>
        <w:pStyle w:val="ListParagraph"/>
        <w:numPr>
          <w:ilvl w:val="0"/>
          <w:numId w:val="2"/>
        </w:numPr>
        <w:spacing w:after="70" w:line="276"/>
      </w:pPr>
      <w:r>
        <w:rPr>
          <w:rFonts w:ascii="Calibri" w:cs="Calibri" w:eastAsia="Calibri" w:hAnsi="Calibri"/>
          <w:color w:val="000000"/>
          <w:sz w:val="21"/>
          <w:szCs w:val="21"/>
        </w:rPr>
        <w:t xml:space="preserve">Where a legal hold is in effect, AI-tool prompts, outputs, and logs within its scope are preserved, and auto-deletion and retention settings must not be altered.</w:t>
      </w:r>
    </w:p>
    <w:p>
      <w:pPr>
        <w:pStyle w:val="Heading2"/>
        <w:spacing w:after="90" w:before="220"/>
      </w:pPr>
      <w:r>
        <w:rPr>
          <w:rFonts w:ascii="Calibri" w:cs="Calibri" w:eastAsia="Calibri" w:hAnsi="Calibri"/>
          <w:b/>
          <w:bCs/>
          <w:color w:val="000000"/>
          <w:sz w:val="23"/>
          <w:szCs w:val="23"/>
        </w:rPr>
        <w:t xml:space="preserve">4.11 Incident Reporting</w:t>
      </w:r>
    </w:p>
    <w:p>
      <w:pPr>
        <w:spacing w:after="120" w:line="276"/>
      </w:pPr>
      <w:r>
        <w:rPr>
          <w:rFonts w:ascii="Calibri" w:cs="Calibri" w:eastAsia="Calibri" w:hAnsi="Calibri"/>
          <w:color w:val="000000"/>
          <w:sz w:val="21"/>
          <w:szCs w:val="21"/>
        </w:rPr>
        <w:t xml:space="preserve">Report immediately to &lt;Information Security Contact / Address / Phone&gt;, and do not attempt to resolve or conceal the matter independently:</w:t>
      </w:r>
    </w:p>
    <w:p>
      <w:pPr>
        <w:pStyle w:val="ListParagraph"/>
        <w:numPr>
          <w:ilvl w:val="0"/>
          <w:numId w:val="2"/>
        </w:numPr>
        <w:spacing w:after="70" w:line="276"/>
      </w:pPr>
      <w:r>
        <w:rPr>
          <w:rFonts w:ascii="Calibri" w:cs="Calibri" w:eastAsia="Calibri" w:hAnsi="Calibri"/>
          <w:color w:val="000000"/>
          <w:sz w:val="21"/>
          <w:szCs w:val="21"/>
        </w:rPr>
        <w:t xml:space="preserve">Any entry of Restricted data into a tool not approved for it, including an accidental paste.</w:t>
      </w:r>
    </w:p>
    <w:p>
      <w:pPr>
        <w:pStyle w:val="ListParagraph"/>
        <w:numPr>
          <w:ilvl w:val="0"/>
          <w:numId w:val="2"/>
        </w:numPr>
        <w:spacing w:after="70" w:line="276"/>
      </w:pPr>
      <w:r>
        <w:rPr>
          <w:rFonts w:ascii="Calibri" w:cs="Calibri" w:eastAsia="Calibri" w:hAnsi="Calibri"/>
          <w:color w:val="000000"/>
          <w:sz w:val="21"/>
          <w:szCs w:val="21"/>
        </w:rPr>
        <w:t xml:space="preserve">Any AI output that appears to contain another individual's confidential information.</w:t>
      </w:r>
    </w:p>
    <w:p>
      <w:pPr>
        <w:pStyle w:val="ListParagraph"/>
        <w:numPr>
          <w:ilvl w:val="0"/>
          <w:numId w:val="2"/>
        </w:numPr>
        <w:spacing w:after="70" w:line="276"/>
      </w:pPr>
      <w:r>
        <w:rPr>
          <w:rFonts w:ascii="Calibri" w:cs="Calibri" w:eastAsia="Calibri" w:hAnsi="Calibri"/>
          <w:color w:val="000000"/>
          <w:sz w:val="21"/>
          <w:szCs w:val="21"/>
        </w:rPr>
        <w:t xml:space="preserve">Any agent action taken without authorization or outside its intended scope.</w:t>
      </w:r>
    </w:p>
    <w:p>
      <w:pPr>
        <w:pStyle w:val="ListParagraph"/>
        <w:numPr>
          <w:ilvl w:val="0"/>
          <w:numId w:val="2"/>
        </w:numPr>
        <w:spacing w:after="70" w:line="276"/>
      </w:pPr>
      <w:r>
        <w:rPr>
          <w:rFonts w:ascii="Calibri" w:cs="Calibri" w:eastAsia="Calibri" w:hAnsi="Calibri"/>
          <w:color w:val="000000"/>
          <w:sz w:val="21"/>
          <w:szCs w:val="21"/>
        </w:rPr>
        <w:t xml:space="preserve">Any suspicion that an AI tool has been manipulated through content it processed.</w:t>
      </w:r>
    </w:p>
    <w:p>
      <w:pPr>
        <w:pStyle w:val="ListParagraph"/>
        <w:numPr>
          <w:ilvl w:val="0"/>
          <w:numId w:val="2"/>
        </w:numPr>
        <w:spacing w:after="70" w:line="276"/>
      </w:pPr>
      <w:r>
        <w:rPr>
          <w:rFonts w:ascii="Calibri" w:cs="Calibri" w:eastAsia="Calibri" w:hAnsi="Calibri"/>
          <w:color w:val="000000"/>
          <w:sz w:val="21"/>
          <w:szCs w:val="21"/>
        </w:rPr>
        <w:t xml:space="preserve">Any communication, whether by email, voice, video, or message, in which AI-generated or synthetic media is suspected to have been used to impersonate a member of the community.</w:t>
      </w:r>
    </w:p>
    <w:p>
      <w:pPr>
        <w:spacing w:after="120" w:line="276"/>
      </w:pPr>
      <w:r>
        <w:rPr>
          <w:rFonts w:ascii="Calibri" w:cs="Calibri" w:eastAsia="Calibri" w:hAnsi="Calibri"/>
          <w:b/>
          <w:bCs/>
          <w:color w:val="000000"/>
          <w:sz w:val="21"/>
          <w:szCs w:val="21"/>
        </w:rPr>
        <w:t xml:space="preserve">Standing verification rule. </w:t>
      </w:r>
      <w:r>
        <w:rPr>
          <w:rFonts w:ascii="Calibri" w:cs="Calibri" w:eastAsia="Calibri" w:hAnsi="Calibri"/>
          <w:color w:val="000000"/>
          <w:sz w:val="21"/>
          <w:szCs w:val="21"/>
        </w:rPr>
        <w:t xml:space="preserve">Any request to move funds, change banking or payroll details, alter vendor payment instructions, or change credentials must be confirmed on a second channel that the recipient initiates using contact information from the institutional directory, never contact information supplied in the request itself. This rule applies without exception and regardless of how convincing the voice, video, or message appears.</w:t>
      </w:r>
    </w:p>
    <w:p>
      <w:pPr>
        <w:pStyle w:val="Heading2"/>
        <w:spacing w:after="90" w:before="220"/>
      </w:pPr>
      <w:r>
        <w:rPr>
          <w:rFonts w:ascii="Calibri" w:cs="Calibri" w:eastAsia="Calibri" w:hAnsi="Calibri"/>
          <w:b/>
          <w:bCs/>
          <w:color w:val="000000"/>
          <w:sz w:val="23"/>
          <w:szCs w:val="23"/>
        </w:rPr>
        <w:t xml:space="preserve">4.12 Unacceptable Use</w:t>
      </w:r>
    </w:p>
    <w:p>
      <w:pPr>
        <w:spacing w:after="120" w:line="276"/>
      </w:pPr>
      <w:r>
        <w:rPr>
          <w:rFonts w:ascii="Calibri" w:cs="Calibri" w:eastAsia="Calibri" w:hAnsi="Calibri"/>
          <w:color w:val="000000"/>
          <w:sz w:val="21"/>
          <w:szCs w:val="21"/>
        </w:rPr>
        <w:t xml:space="preserve">The following are prohibited. This list is not exhaustive. Employees performing legitimate, authorized duties, for example security personnel conducting sanctioned testing, may be exempted in writing under Section 6.</w:t>
      </w:r>
    </w:p>
    <w:p>
      <w:pPr>
        <w:spacing w:after="120" w:line="276"/>
      </w:pPr>
      <w:r>
        <w:rPr>
          <w:rFonts w:ascii="Calibri" w:cs="Calibri" w:eastAsia="Calibri" w:hAnsi="Calibri"/>
          <w:color w:val="000000"/>
          <w:sz w:val="21"/>
          <w:szCs w:val="21"/>
        </w:rPr>
        <w:t xml:space="preserve">Under no circumstances is any member of the &lt;Institution Name&gt; community authorized to use AI tools in connection with institutional work to engage in activity that is unlawful under local, state, federal, or international law.</w:t>
      </w:r>
    </w:p>
    <w:p>
      <w:pPr>
        <w:pStyle w:val="Heading3"/>
        <w:spacing w:after="70" w:before="160"/>
      </w:pPr>
      <w:r>
        <w:rPr>
          <w:rFonts w:ascii="Calibri" w:cs="Calibri" w:eastAsia="Calibri" w:hAnsi="Calibri"/>
          <w:b/>
          <w:bCs/>
          <w:i/>
          <w:iCs/>
          <w:color w:val="000000"/>
          <w:sz w:val="21"/>
          <w:szCs w:val="21"/>
        </w:rPr>
        <w:t xml:space="preserve">Data and privacy</w:t>
      </w:r>
    </w:p>
    <w:p>
      <w:pPr>
        <w:pStyle w:val="ListParagraph"/>
        <w:numPr>
          <w:ilvl w:val="0"/>
          <w:numId w:val="5"/>
        </w:numPr>
        <w:spacing w:after="70" w:line="276"/>
      </w:pPr>
      <w:r>
        <w:rPr>
          <w:rFonts w:ascii="Calibri" w:cs="Calibri" w:eastAsia="Calibri" w:hAnsi="Calibri"/>
          <w:color w:val="000000"/>
          <w:sz w:val="21"/>
          <w:szCs w:val="21"/>
        </w:rPr>
        <w:t xml:space="preserve">Entering Restricted data into any AI tool not approved in writing for that data category.</w:t>
      </w:r>
    </w:p>
    <w:p>
      <w:pPr>
        <w:pStyle w:val="ListParagraph"/>
        <w:numPr>
          <w:ilvl w:val="0"/>
          <w:numId w:val="5"/>
        </w:numPr>
        <w:spacing w:after="70" w:line="276"/>
      </w:pPr>
      <w:r>
        <w:rPr>
          <w:rFonts w:ascii="Calibri" w:cs="Calibri" w:eastAsia="Calibri" w:hAnsi="Calibri"/>
          <w:color w:val="000000"/>
          <w:sz w:val="21"/>
          <w:szCs w:val="21"/>
        </w:rPr>
        <w:t xml:space="preserve">Entering any Amber or Restricted data into a personal, consumer, or otherwise unmanaged AI account.</w:t>
      </w:r>
    </w:p>
    <w:p>
      <w:pPr>
        <w:pStyle w:val="ListParagraph"/>
        <w:numPr>
          <w:ilvl w:val="0"/>
          <w:numId w:val="5"/>
        </w:numPr>
        <w:spacing w:after="70" w:line="276"/>
      </w:pPr>
      <w:r>
        <w:rPr>
          <w:rFonts w:ascii="Calibri" w:cs="Calibri" w:eastAsia="Calibri" w:hAnsi="Calibri"/>
          <w:color w:val="000000"/>
          <w:sz w:val="21"/>
          <w:szCs w:val="21"/>
        </w:rPr>
        <w:t xml:space="preserve">Using AI to re-identify individuals from de-identified data, or to infer protected characteristics, immigration status, health conditions, or sexual orientation about identifiable individuals.</w:t>
      </w:r>
    </w:p>
    <w:p>
      <w:pPr>
        <w:pStyle w:val="ListParagraph"/>
        <w:numPr>
          <w:ilvl w:val="0"/>
          <w:numId w:val="5"/>
        </w:numPr>
        <w:spacing w:after="70" w:line="276"/>
      </w:pPr>
      <w:r>
        <w:rPr>
          <w:rFonts w:ascii="Calibri" w:cs="Calibri" w:eastAsia="Calibri" w:hAnsi="Calibri"/>
          <w:color w:val="000000"/>
          <w:sz w:val="21"/>
          <w:szCs w:val="21"/>
        </w:rPr>
        <w:t xml:space="preserve">Using AI tools to aggregate or compile profiles of students, employees, applicants, donors, or community members beyond the scope of an authorized institutional function.</w:t>
      </w:r>
    </w:p>
    <w:p>
      <w:pPr>
        <w:pStyle w:val="ListParagraph"/>
        <w:numPr>
          <w:ilvl w:val="0"/>
          <w:numId w:val="5"/>
        </w:numPr>
        <w:spacing w:after="70" w:line="276"/>
      </w:pPr>
      <w:r>
        <w:rPr>
          <w:rFonts w:ascii="Calibri" w:cs="Calibri" w:eastAsia="Calibri" w:hAnsi="Calibri"/>
          <w:color w:val="000000"/>
          <w:sz w:val="21"/>
          <w:szCs w:val="21"/>
        </w:rPr>
        <w:t xml:space="preserve">Enabling meeting transcription or recording assistants in conversations involving Restricted data, or in any meeting, without the notice and consent required by applicable law and institutional policy.</w:t>
      </w:r>
    </w:p>
    <w:p>
      <w:pPr>
        <w:pStyle w:val="ListParagraph"/>
        <w:numPr>
          <w:ilvl w:val="0"/>
          <w:numId w:val="5"/>
        </w:numPr>
        <w:spacing w:after="70" w:line="276"/>
      </w:pPr>
      <w:r>
        <w:rPr>
          <w:rFonts w:ascii="Calibri" w:cs="Calibri" w:eastAsia="Calibri" w:hAnsi="Calibri"/>
          <w:color w:val="000000"/>
          <w:sz w:val="21"/>
          <w:szCs w:val="21"/>
        </w:rPr>
        <w:t xml:space="preserve">Configuring an AI tool to retain, train on, or transmit institutional data in a manner inconsistent with the terms under which the tool was approved.</w:t>
      </w:r>
    </w:p>
    <w:p>
      <w:pPr>
        <w:pStyle w:val="Heading3"/>
        <w:spacing w:after="70" w:before="160"/>
      </w:pPr>
      <w:r>
        <w:rPr>
          <w:rFonts w:ascii="Calibri" w:cs="Calibri" w:eastAsia="Calibri" w:hAnsi="Calibri"/>
          <w:b/>
          <w:bCs/>
          <w:i/>
          <w:iCs/>
          <w:color w:val="000000"/>
          <w:sz w:val="21"/>
          <w:szCs w:val="21"/>
        </w:rPr>
        <w:t xml:space="preserve">Integrity and misrepresentation</w:t>
      </w:r>
    </w:p>
    <w:p>
      <w:pPr>
        <w:pStyle w:val="ListParagraph"/>
        <w:numPr>
          <w:ilvl w:val="0"/>
          <w:numId w:val="5"/>
        </w:numPr>
        <w:spacing w:after="70" w:line="276"/>
      </w:pPr>
      <w:r>
        <w:rPr>
          <w:rFonts w:ascii="Calibri" w:cs="Calibri" w:eastAsia="Calibri" w:hAnsi="Calibri"/>
          <w:color w:val="000000"/>
          <w:sz w:val="21"/>
          <w:szCs w:val="21"/>
        </w:rPr>
        <w:t xml:space="preserve">Presenting AI-generated work as one's own where the applicable course rule, publisher policy, sponsor requirement, or institutional policy requires disclosure.</w:t>
      </w:r>
    </w:p>
    <w:p>
      <w:pPr>
        <w:pStyle w:val="ListParagraph"/>
        <w:numPr>
          <w:ilvl w:val="0"/>
          <w:numId w:val="5"/>
        </w:numPr>
        <w:spacing w:after="70" w:line="276"/>
      </w:pPr>
      <w:r>
        <w:rPr>
          <w:rFonts w:ascii="Calibri" w:cs="Calibri" w:eastAsia="Calibri" w:hAnsi="Calibri"/>
          <w:color w:val="000000"/>
          <w:sz w:val="21"/>
          <w:szCs w:val="21"/>
        </w:rPr>
        <w:t xml:space="preserve">Generating synthetic audio, video, or imagery depicting a real person without that person's consent, and any use of such media to deceive, harass, defame, or impersonate.</w:t>
      </w:r>
    </w:p>
    <w:p>
      <w:pPr>
        <w:pStyle w:val="ListParagraph"/>
        <w:numPr>
          <w:ilvl w:val="0"/>
          <w:numId w:val="5"/>
        </w:numPr>
        <w:spacing w:after="70" w:line="276"/>
      </w:pPr>
      <w:r>
        <w:rPr>
          <w:rFonts w:ascii="Calibri" w:cs="Calibri" w:eastAsia="Calibri" w:hAnsi="Calibri"/>
          <w:color w:val="000000"/>
          <w:sz w:val="21"/>
          <w:szCs w:val="21"/>
        </w:rPr>
        <w:t xml:space="preserve">Using AI to produce official institutional communications, policy, legal positions, or public statements that are issued without review by the office accountable for that content.</w:t>
      </w:r>
    </w:p>
    <w:p>
      <w:pPr>
        <w:pStyle w:val="ListParagraph"/>
        <w:numPr>
          <w:ilvl w:val="0"/>
          <w:numId w:val="5"/>
        </w:numPr>
        <w:spacing w:after="70" w:line="276"/>
      </w:pPr>
      <w:r>
        <w:rPr>
          <w:rFonts w:ascii="Calibri" w:cs="Calibri" w:eastAsia="Calibri" w:hAnsi="Calibri"/>
          <w:color w:val="000000"/>
          <w:sz w:val="21"/>
          <w:szCs w:val="21"/>
        </w:rPr>
        <w:t xml:space="preserve">Fabricating research data, results, images, or citations, or presenting AI-generated content as observed data or as a verified source.</w:t>
      </w:r>
    </w:p>
    <w:p>
      <w:pPr>
        <w:pStyle w:val="ListParagraph"/>
        <w:numPr>
          <w:ilvl w:val="0"/>
          <w:numId w:val="5"/>
        </w:numPr>
        <w:spacing w:after="70" w:line="276"/>
      </w:pPr>
      <w:r>
        <w:rPr>
          <w:rFonts w:ascii="Calibri" w:cs="Calibri" w:eastAsia="Calibri" w:hAnsi="Calibri"/>
          <w:color w:val="000000"/>
          <w:sz w:val="21"/>
          <w:szCs w:val="21"/>
        </w:rPr>
        <w:t xml:space="preserve">Representing an AI system's output as the reviewed judgment of a named individual who did not review it.</w:t>
      </w:r>
    </w:p>
    <w:p>
      <w:pPr>
        <w:pStyle w:val="ListParagraph"/>
        <w:numPr>
          <w:ilvl w:val="0"/>
          <w:numId w:val="5"/>
        </w:numPr>
        <w:spacing w:after="70" w:line="276"/>
      </w:pPr>
      <w:r>
        <w:rPr>
          <w:rFonts w:ascii="Calibri" w:cs="Calibri" w:eastAsia="Calibri" w:hAnsi="Calibri"/>
          <w:color w:val="000000"/>
          <w:sz w:val="21"/>
          <w:szCs w:val="21"/>
        </w:rPr>
        <w:t xml:space="preserve">Using AI tools to complete required compliance, ethics, or safety training on another person's behalf, or one's own where the training requires personal completion.</w:t>
      </w:r>
    </w:p>
    <w:p>
      <w:pPr>
        <w:pStyle w:val="Heading3"/>
        <w:spacing w:after="70" w:before="160"/>
      </w:pPr>
      <w:r>
        <w:rPr>
          <w:rFonts w:ascii="Calibri" w:cs="Calibri" w:eastAsia="Calibri" w:hAnsi="Calibri"/>
          <w:b/>
          <w:bCs/>
          <w:i/>
          <w:iCs/>
          <w:color w:val="000000"/>
          <w:sz w:val="21"/>
          <w:szCs w:val="21"/>
        </w:rPr>
        <w:t xml:space="preserve">Security</w:t>
      </w:r>
    </w:p>
    <w:p>
      <w:pPr>
        <w:pStyle w:val="ListParagraph"/>
        <w:numPr>
          <w:ilvl w:val="0"/>
          <w:numId w:val="5"/>
        </w:numPr>
        <w:spacing w:after="70" w:line="276"/>
      </w:pPr>
      <w:r>
        <w:rPr>
          <w:rFonts w:ascii="Calibri" w:cs="Calibri" w:eastAsia="Calibri" w:hAnsi="Calibri"/>
          <w:color w:val="000000"/>
          <w:sz w:val="21"/>
          <w:szCs w:val="21"/>
        </w:rPr>
        <w:t xml:space="preserve">Entering credentials, keys, tokens, security configurations, network diagrams, or vulnerability findings into any AI tool not approved for Restricted data.</w:t>
      </w:r>
    </w:p>
    <w:p>
      <w:pPr>
        <w:pStyle w:val="ListParagraph"/>
        <w:numPr>
          <w:ilvl w:val="0"/>
          <w:numId w:val="5"/>
        </w:numPr>
        <w:spacing w:after="70" w:line="276"/>
      </w:pPr>
      <w:r>
        <w:rPr>
          <w:rFonts w:ascii="Calibri" w:cs="Calibri" w:eastAsia="Calibri" w:hAnsi="Calibri"/>
          <w:color w:val="000000"/>
          <w:sz w:val="21"/>
          <w:szCs w:val="21"/>
        </w:rPr>
        <w:t xml:space="preserve">Using AI tools to develop malware, exploits, phishing content, or other capability intended to compromise systems, except within a written, authorized, and scoped security assessment.</w:t>
      </w:r>
    </w:p>
    <w:p>
      <w:pPr>
        <w:pStyle w:val="ListParagraph"/>
        <w:numPr>
          <w:ilvl w:val="0"/>
          <w:numId w:val="5"/>
        </w:numPr>
        <w:spacing w:after="70" w:line="276"/>
      </w:pPr>
      <w:r>
        <w:rPr>
          <w:rFonts w:ascii="Calibri" w:cs="Calibri" w:eastAsia="Calibri" w:hAnsi="Calibri"/>
          <w:color w:val="000000"/>
          <w:sz w:val="21"/>
          <w:szCs w:val="21"/>
        </w:rPr>
        <w:t xml:space="preserve">Attempting to bypass, jailbreak, or circumvent the safety controls, access controls, or usage restrictions of an AI system, or the institution's AI-related technical controls.</w:t>
      </w:r>
    </w:p>
    <w:p>
      <w:pPr>
        <w:pStyle w:val="ListParagraph"/>
        <w:numPr>
          <w:ilvl w:val="0"/>
          <w:numId w:val="5"/>
        </w:numPr>
        <w:spacing w:after="70" w:line="276"/>
      </w:pPr>
      <w:r>
        <w:rPr>
          <w:rFonts w:ascii="Calibri" w:cs="Calibri" w:eastAsia="Calibri" w:hAnsi="Calibri"/>
          <w:color w:val="000000"/>
          <w:sz w:val="21"/>
          <w:szCs w:val="21"/>
        </w:rPr>
        <w:t xml:space="preserve">Granting an AI tool, agent, extension, or integration access to institutional systems or data without the review required by Section 4.4.</w:t>
      </w:r>
    </w:p>
    <w:p>
      <w:pPr>
        <w:pStyle w:val="ListParagraph"/>
        <w:numPr>
          <w:ilvl w:val="0"/>
          <w:numId w:val="5"/>
        </w:numPr>
        <w:spacing w:after="70" w:line="276"/>
      </w:pPr>
      <w:r>
        <w:rPr>
          <w:rFonts w:ascii="Calibri" w:cs="Calibri" w:eastAsia="Calibri" w:hAnsi="Calibri"/>
          <w:color w:val="000000"/>
          <w:sz w:val="21"/>
          <w:szCs w:val="21"/>
        </w:rPr>
        <w:t xml:space="preserve">Connecting institutional accounts to unapproved AI services through single sign-on, OAuth authorization, or API keys.</w:t>
      </w:r>
    </w:p>
    <w:p>
      <w:pPr>
        <w:pStyle w:val="ListParagraph"/>
        <w:numPr>
          <w:ilvl w:val="0"/>
          <w:numId w:val="5"/>
        </w:numPr>
        <w:spacing w:after="70" w:line="276"/>
      </w:pPr>
      <w:r>
        <w:rPr>
          <w:rFonts w:ascii="Calibri" w:cs="Calibri" w:eastAsia="Calibri" w:hAnsi="Calibri"/>
          <w:color w:val="000000"/>
          <w:sz w:val="21"/>
          <w:szCs w:val="21"/>
        </w:rPr>
        <w:t xml:space="preserve">Installing browser extensions with broad page-read or content-capture permissions on institutional devices or accounts without approval.</w:t>
      </w:r>
    </w:p>
    <w:p>
      <w:pPr>
        <w:pStyle w:val="Heading3"/>
        <w:spacing w:after="70" w:before="160"/>
      </w:pPr>
      <w:r>
        <w:rPr>
          <w:rFonts w:ascii="Calibri" w:cs="Calibri" w:eastAsia="Calibri" w:hAnsi="Calibri"/>
          <w:b/>
          <w:bCs/>
          <w:i/>
          <w:iCs/>
          <w:color w:val="000000"/>
          <w:sz w:val="21"/>
          <w:szCs w:val="21"/>
        </w:rPr>
        <w:t xml:space="preserve">Rights of others</w:t>
      </w:r>
    </w:p>
    <w:p>
      <w:pPr>
        <w:pStyle w:val="ListParagraph"/>
        <w:numPr>
          <w:ilvl w:val="0"/>
          <w:numId w:val="5"/>
        </w:numPr>
        <w:spacing w:after="70" w:line="276"/>
      </w:pPr>
      <w:r>
        <w:rPr>
          <w:rFonts w:ascii="Calibri" w:cs="Calibri" w:eastAsia="Calibri" w:hAnsi="Calibri"/>
          <w:color w:val="000000"/>
          <w:sz w:val="21"/>
          <w:szCs w:val="21"/>
        </w:rPr>
        <w:t xml:space="preserve">Using AI in a manner that infringes copyright, trade secret, patent, licensing, or other intellectual property rights, including submitting third-party licensed or confidential material to a tool whose terms permit the provider to retain or train on it.</w:t>
      </w:r>
    </w:p>
    <w:p>
      <w:pPr>
        <w:pStyle w:val="ListParagraph"/>
        <w:numPr>
          <w:ilvl w:val="0"/>
          <w:numId w:val="5"/>
        </w:numPr>
        <w:spacing w:after="70" w:line="276"/>
      </w:pPr>
      <w:r>
        <w:rPr>
          <w:rFonts w:ascii="Calibri" w:cs="Calibri" w:eastAsia="Calibri" w:hAnsi="Calibri"/>
          <w:color w:val="000000"/>
          <w:sz w:val="21"/>
          <w:szCs w:val="21"/>
        </w:rPr>
        <w:t xml:space="preserve">Using AI tools to harass, threaten, defame, or discriminate against any person, or to create a hostile environment under applicable law or institutional policy.</w:t>
      </w:r>
    </w:p>
    <w:p>
      <w:pPr>
        <w:pStyle w:val="ListParagraph"/>
        <w:numPr>
          <w:ilvl w:val="0"/>
          <w:numId w:val="5"/>
        </w:numPr>
        <w:spacing w:after="70" w:line="276"/>
      </w:pPr>
      <w:r>
        <w:rPr>
          <w:rFonts w:ascii="Calibri" w:cs="Calibri" w:eastAsia="Calibri" w:hAnsi="Calibri"/>
          <w:color w:val="000000"/>
          <w:sz w:val="21"/>
          <w:szCs w:val="21"/>
        </w:rPr>
        <w:t xml:space="preserve">Using AI to monitor, evaluate, or score individual students or employees in a manner not authorized under Section 4.7 and disclosed to those affected.</w:t>
      </w:r>
    </w:p>
    <w:p>
      <w:pPr>
        <w:pStyle w:val="Heading1"/>
        <w:pBdr>
          <w:bottom w:val="single" w:color="BFBFBF" w:sz="6" w:space="4"/>
        </w:pBdr>
        <w:spacing w:after="140" w:before="320"/>
      </w:pPr>
      <w:r>
        <w:rPr>
          <w:rFonts w:ascii="Calibri" w:cs="Calibri" w:eastAsia="Calibri" w:hAnsi="Calibri"/>
          <w:b/>
          <w:bCs/>
          <w:color w:val="000000"/>
          <w:sz w:val="28"/>
          <w:szCs w:val="28"/>
        </w:rPr>
        <w:t xml:space="preserve">5. Policy Compliance</w:t>
      </w:r>
    </w:p>
    <w:p>
      <w:pPr>
        <w:pStyle w:val="Heading2"/>
        <w:spacing w:after="90" w:before="220"/>
      </w:pPr>
      <w:r>
        <w:rPr>
          <w:rFonts w:ascii="Calibri" w:cs="Calibri" w:eastAsia="Calibri" w:hAnsi="Calibri"/>
          <w:b/>
          <w:bCs/>
          <w:color w:val="000000"/>
          <w:sz w:val="23"/>
          <w:szCs w:val="23"/>
        </w:rPr>
        <w:t xml:space="preserve">5.1 Compliance Measurement</w:t>
      </w:r>
    </w:p>
    <w:p>
      <w:pPr>
        <w:spacing w:after="120" w:line="276"/>
      </w:pPr>
      <w:r>
        <w:rPr>
          <w:rFonts w:ascii="Calibri" w:cs="Calibri" w:eastAsia="Calibri" w:hAnsi="Calibri"/>
          <w:color w:val="000000"/>
          <w:sz w:val="21"/>
          <w:szCs w:val="21"/>
        </w:rPr>
        <w:t xml:space="preserve">The &lt;AI Governance Owner&gt; will verify compliance through methods including tool and platform reports, identity and network telemetry identifying use of AI services, procurement and contract review records, periodic self-attestation by units, internal and external audit, and feedback to the policy owner. Compliance activity is conducted consistently with Section 4.1(6).</w:t>
      </w:r>
    </w:p>
    <w:p>
      <w:pPr>
        <w:pStyle w:val="Heading2"/>
        <w:spacing w:after="90" w:before="220"/>
      </w:pPr>
      <w:r>
        <w:rPr>
          <w:rFonts w:ascii="Calibri" w:cs="Calibri" w:eastAsia="Calibri" w:hAnsi="Calibri"/>
          <w:b/>
          <w:bCs/>
          <w:color w:val="000000"/>
          <w:sz w:val="23"/>
          <w:szCs w:val="23"/>
        </w:rPr>
        <w:t xml:space="preserve">5.2 Awareness and Training</w:t>
      </w:r>
    </w:p>
    <w:p>
      <w:pPr>
        <w:spacing w:after="120" w:line="276"/>
      </w:pPr>
      <w:r>
        <w:rPr>
          <w:rFonts w:ascii="Calibri" w:cs="Calibri" w:eastAsia="Calibri" w:hAnsi="Calibri"/>
          <w:color w:val="000000"/>
          <w:sz w:val="21"/>
          <w:szCs w:val="21"/>
        </w:rPr>
        <w:t xml:space="preserve">All employees receive training on this policy at onboarding and at least annually. Individuals working with Restricted data, and those deploying or administering AI systems, receive role-specific training. Because a policy that is not known is not a control, unit leaders are responsible for confirming that their staff have received it.</w:t>
      </w:r>
    </w:p>
    <w:p>
      <w:pPr>
        <w:pStyle w:val="Heading2"/>
        <w:spacing w:after="90" w:before="220"/>
      </w:pPr>
      <w:r>
        <w:rPr>
          <w:rFonts w:ascii="Calibri" w:cs="Calibri" w:eastAsia="Calibri" w:hAnsi="Calibri"/>
          <w:b/>
          <w:bCs/>
          <w:color w:val="000000"/>
          <w:sz w:val="23"/>
          <w:szCs w:val="23"/>
        </w:rPr>
        <w:t xml:space="preserve">5.3 Roles</w:t>
      </w:r>
    </w:p>
    <w:p>
      <w:pPr>
        <w:pStyle w:val="ListParagraph"/>
        <w:numPr>
          <w:ilvl w:val="0"/>
          <w:numId w:val="2"/>
        </w:numPr>
        <w:spacing w:after="70" w:line="276"/>
      </w:pPr>
      <w:r>
        <w:rPr>
          <w:rFonts w:ascii="Calibri" w:cs="Calibri" w:eastAsia="Calibri" w:hAnsi="Calibri"/>
          <w:b/>
          <w:bCs/>
          <w:color w:val="000000"/>
          <w:sz w:val="21"/>
          <w:szCs w:val="21"/>
        </w:rPr>
        <w:t xml:space="preserve">&lt;AI Governance Owner&gt;:</w:t>
      </w:r>
      <w:r>
        <w:rPr>
          <w:rFonts w:ascii="Calibri" w:cs="Calibri" w:eastAsia="Calibri" w:hAnsi="Calibri"/>
          <w:color w:val="000000"/>
          <w:sz w:val="21"/>
          <w:szCs w:val="21"/>
        </w:rPr>
        <w:t xml:space="preserve">owns this policy, maintains the Approved AI Tool List, chairs review of proposed AI uses, and holds authority to decline a tool or use case.</w:t>
      </w:r>
    </w:p>
    <w:p>
      <w:pPr>
        <w:pStyle w:val="ListParagraph"/>
        <w:numPr>
          <w:ilvl w:val="0"/>
          <w:numId w:val="2"/>
        </w:numPr>
        <w:spacing w:after="70" w:line="276"/>
      </w:pPr>
      <w:r>
        <w:rPr>
          <w:rFonts w:ascii="Calibri" w:cs="Calibri" w:eastAsia="Calibri" w:hAnsi="Calibri"/>
          <w:b/>
          <w:bCs/>
          <w:color w:val="000000"/>
          <w:sz w:val="21"/>
          <w:szCs w:val="21"/>
        </w:rPr>
        <w:t xml:space="preserve">&lt;Information Security&gt;:</w:t>
      </w:r>
      <w:r>
        <w:rPr>
          <w:rFonts w:ascii="Calibri" w:cs="Calibri" w:eastAsia="Calibri" w:hAnsi="Calibri"/>
          <w:color w:val="000000"/>
          <w:sz w:val="21"/>
          <w:szCs w:val="21"/>
        </w:rPr>
        <w:t xml:space="preserve">conducts security review, monitors for unapproved AI use, and leads incident response.</w:t>
      </w:r>
    </w:p>
    <w:p>
      <w:pPr>
        <w:pStyle w:val="ListParagraph"/>
        <w:numPr>
          <w:ilvl w:val="0"/>
          <w:numId w:val="2"/>
        </w:numPr>
        <w:spacing w:after="70" w:line="276"/>
      </w:pPr>
      <w:r>
        <w:rPr>
          <w:rFonts w:ascii="Calibri" w:cs="Calibri" w:eastAsia="Calibri" w:hAnsi="Calibri"/>
          <w:b/>
          <w:bCs/>
          <w:color w:val="000000"/>
          <w:sz w:val="21"/>
          <w:szCs w:val="21"/>
        </w:rPr>
        <w:t xml:space="preserve">&lt;Registrar / Data Stewards&gt;:</w:t>
      </w:r>
      <w:r>
        <w:rPr>
          <w:rFonts w:ascii="Calibri" w:cs="Calibri" w:eastAsia="Calibri" w:hAnsi="Calibri"/>
          <w:color w:val="000000"/>
          <w:sz w:val="21"/>
          <w:szCs w:val="21"/>
        </w:rPr>
        <w:t xml:space="preserve">determine classification questions for education records and approve de-identification determinations.</w:t>
      </w:r>
    </w:p>
    <w:p>
      <w:pPr>
        <w:pStyle w:val="ListParagraph"/>
        <w:numPr>
          <w:ilvl w:val="0"/>
          <w:numId w:val="2"/>
        </w:numPr>
        <w:spacing w:after="70" w:line="276"/>
      </w:pPr>
      <w:r>
        <w:rPr>
          <w:rFonts w:ascii="Calibri" w:cs="Calibri" w:eastAsia="Calibri" w:hAnsi="Calibri"/>
          <w:b/>
          <w:bCs/>
          <w:color w:val="000000"/>
          <w:sz w:val="21"/>
          <w:szCs w:val="21"/>
        </w:rPr>
        <w:t xml:space="preserve">&lt;Research Compliance / Export Control&gt;:</w:t>
      </w:r>
      <w:r>
        <w:rPr>
          <w:rFonts w:ascii="Calibri" w:cs="Calibri" w:eastAsia="Calibri" w:hAnsi="Calibri"/>
          <w:color w:val="000000"/>
          <w:sz w:val="21"/>
          <w:szCs w:val="21"/>
        </w:rPr>
        <w:t xml:space="preserve">review AI use involving human subjects, sponsored, or controlled research data.</w:t>
      </w:r>
    </w:p>
    <w:p>
      <w:pPr>
        <w:pStyle w:val="ListParagraph"/>
        <w:numPr>
          <w:ilvl w:val="0"/>
          <w:numId w:val="2"/>
        </w:numPr>
        <w:spacing w:after="70" w:line="276"/>
      </w:pPr>
      <w:r>
        <w:rPr>
          <w:rFonts w:ascii="Calibri" w:cs="Calibri" w:eastAsia="Calibri" w:hAnsi="Calibri"/>
          <w:b/>
          <w:bCs/>
          <w:color w:val="000000"/>
          <w:sz w:val="21"/>
          <w:szCs w:val="21"/>
        </w:rPr>
        <w:t xml:space="preserve">&lt;Office of General Counsel&gt;:</w:t>
      </w:r>
      <w:r>
        <w:rPr>
          <w:rFonts w:ascii="Calibri" w:cs="Calibri" w:eastAsia="Calibri" w:hAnsi="Calibri"/>
          <w:color w:val="000000"/>
          <w:sz w:val="21"/>
          <w:szCs w:val="21"/>
        </w:rPr>
        <w:t xml:space="preserve">reviews contractual, regulatory, records, and litigation-hold questions.</w:t>
      </w:r>
    </w:p>
    <w:p>
      <w:pPr>
        <w:pStyle w:val="ListParagraph"/>
        <w:numPr>
          <w:ilvl w:val="0"/>
          <w:numId w:val="2"/>
        </w:numPr>
        <w:spacing w:after="70" w:line="276"/>
      </w:pPr>
      <w:r>
        <w:rPr>
          <w:rFonts w:ascii="Calibri" w:cs="Calibri" w:eastAsia="Calibri" w:hAnsi="Calibri"/>
          <w:b/>
          <w:bCs/>
          <w:color w:val="000000"/>
          <w:sz w:val="21"/>
          <w:szCs w:val="21"/>
        </w:rPr>
        <w:t xml:space="preserve">&lt;Accessibility Office&gt;:</w:t>
      </w:r>
      <w:r>
        <w:rPr>
          <w:rFonts w:ascii="Calibri" w:cs="Calibri" w:eastAsia="Calibri" w:hAnsi="Calibri"/>
          <w:color w:val="000000"/>
          <w:sz w:val="21"/>
          <w:szCs w:val="21"/>
        </w:rPr>
        <w:t xml:space="preserve">reviews conformance evidence and alternative access arrangements.</w:t>
      </w:r>
    </w:p>
    <w:p>
      <w:pPr>
        <w:pStyle w:val="ListParagraph"/>
        <w:numPr>
          <w:ilvl w:val="0"/>
          <w:numId w:val="2"/>
        </w:numPr>
        <w:spacing w:after="70" w:line="276"/>
      </w:pPr>
      <w:r>
        <w:rPr>
          <w:rFonts w:ascii="Calibri" w:cs="Calibri" w:eastAsia="Calibri" w:hAnsi="Calibri"/>
          <w:b/>
          <w:bCs/>
          <w:color w:val="000000"/>
          <w:sz w:val="21"/>
          <w:szCs w:val="21"/>
        </w:rPr>
        <w:t xml:space="preserve">Deans, directors, and department heads:</w:t>
      </w:r>
      <w:r>
        <w:rPr>
          <w:rFonts w:ascii="Calibri" w:cs="Calibri" w:eastAsia="Calibri" w:hAnsi="Calibri"/>
          <w:color w:val="000000"/>
          <w:sz w:val="21"/>
          <w:szCs w:val="21"/>
        </w:rPr>
        <w:t xml:space="preserve">accountable for AI use within their units, including tools adopted locally.</w:t>
      </w:r>
    </w:p>
    <w:p>
      <w:pPr>
        <w:pStyle w:val="Heading1"/>
        <w:pBdr>
          <w:bottom w:val="single" w:color="BFBFBF" w:sz="6" w:space="4"/>
        </w:pBdr>
        <w:spacing w:after="140" w:before="320"/>
      </w:pPr>
      <w:r>
        <w:rPr>
          <w:rFonts w:ascii="Calibri" w:cs="Calibri" w:eastAsia="Calibri" w:hAnsi="Calibri"/>
          <w:b/>
          <w:bCs/>
          <w:color w:val="000000"/>
          <w:sz w:val="28"/>
          <w:szCs w:val="28"/>
        </w:rPr>
        <w:t xml:space="preserve">6. Exceptions</w:t>
      </w:r>
    </w:p>
    <w:p>
      <w:pPr>
        <w:spacing w:after="120" w:line="276"/>
      </w:pPr>
      <w:r>
        <w:rPr>
          <w:rFonts w:ascii="Calibri" w:cs="Calibri" w:eastAsia="Calibri" w:hAnsi="Calibri"/>
          <w:color w:val="000000"/>
          <w:sz w:val="21"/>
          <w:szCs w:val="21"/>
        </w:rPr>
        <w:t xml:space="preserve">Any exception to this policy must be requested in advance and approved in writing by the &lt;AI Governance Owner&gt;, in consultation with &lt;Office of General Counsel&gt; where the exception involves Restricted data or a consequential decision.</w:t>
      </w:r>
    </w:p>
    <w:p>
      <w:pPr>
        <w:spacing w:after="120" w:line="276"/>
      </w:pPr>
      <w:r>
        <w:rPr>
          <w:rFonts w:ascii="Calibri" w:cs="Calibri" w:eastAsia="Calibri" w:hAnsi="Calibri"/>
          <w:color w:val="000000"/>
          <w:sz w:val="21"/>
          <w:szCs w:val="21"/>
        </w:rPr>
        <w:t xml:space="preserve">An approved exception must state the specific requirement waived, the scope and business or academic justification, compensating controls, an expiration date, and the accountable individual. Exceptions are time-limited, are recorded in a register available to &lt;Approving Body&gt;, and are reviewed at renewal rather than extended by default.</w:t>
      </w:r>
    </w:p>
    <w:p>
      <w:pPr>
        <w:pStyle w:val="Heading1"/>
        <w:pBdr>
          <w:bottom w:val="single" w:color="BFBFBF" w:sz="6" w:space="4"/>
        </w:pBdr>
        <w:spacing w:after="140" w:before="320"/>
      </w:pPr>
      <w:r>
        <w:rPr>
          <w:rFonts w:ascii="Calibri" w:cs="Calibri" w:eastAsia="Calibri" w:hAnsi="Calibri"/>
          <w:b/>
          <w:bCs/>
          <w:color w:val="000000"/>
          <w:sz w:val="28"/>
          <w:szCs w:val="28"/>
        </w:rPr>
        <w:t xml:space="preserve">7. Non-Compliance</w:t>
      </w:r>
    </w:p>
    <w:p>
      <w:pPr>
        <w:spacing w:after="120" w:line="276"/>
      </w:pPr>
      <w:r>
        <w:rPr>
          <w:rFonts w:ascii="Calibri" w:cs="Calibri" w:eastAsia="Calibri" w:hAnsi="Calibri"/>
          <w:color w:val="000000"/>
          <w:sz w:val="21"/>
          <w:szCs w:val="21"/>
        </w:rPr>
        <w:t xml:space="preserve">Violations of this policy may result in suspension or revocation of access to institutional systems and AI tools, and in disciplinary action under the applicable employee, faculty, or student conduct process, up to and including termination of employment, dismissal, or separation. Contractors and affiliates may have their engagement terminated. Conduct that violates law may be referred to appropriate authorities.</w:t>
      </w:r>
    </w:p>
    <w:p>
      <w:pPr>
        <w:spacing w:after="120" w:line="276"/>
      </w:pPr>
      <w:r>
        <w:rPr>
          <w:rFonts w:ascii="Calibri" w:cs="Calibri" w:eastAsia="Calibri" w:hAnsi="Calibri"/>
          <w:color w:val="000000"/>
          <w:sz w:val="21"/>
          <w:szCs w:val="21"/>
        </w:rPr>
        <w:t xml:space="preserve">Disciplinary action is proportionate to the conduct. Good-faith self-reporting under Section 4.1(5) is a mitigating factor. Willful violation, violation repeated after notice, and concealment are aggravating factors.</w:t>
      </w:r>
    </w:p>
    <w:p>
      <w:pPr>
        <w:pStyle w:val="Heading1"/>
        <w:pBdr>
          <w:bottom w:val="single" w:color="BFBFBF" w:sz="6" w:space="4"/>
        </w:pBdr>
        <w:spacing w:after="140" w:before="320"/>
      </w:pPr>
      <w:r>
        <w:rPr>
          <w:rFonts w:ascii="Calibri" w:cs="Calibri" w:eastAsia="Calibri" w:hAnsi="Calibri"/>
          <w:b/>
          <w:bCs/>
          <w:color w:val="000000"/>
          <w:sz w:val="28"/>
          <w:szCs w:val="28"/>
        </w:rPr>
        <w:t xml:space="preserve">8. Related Standards, Policies and Processes</w:t>
      </w:r>
    </w:p>
    <w:p>
      <w:pPr>
        <w:spacing w:after="120" w:line="276"/>
      </w:pPr>
      <w:r>
        <w:rPr>
          <w:rFonts w:ascii="Calibri" w:cs="Calibri" w:eastAsia="Calibri" w:hAnsi="Calibri"/>
          <w:color w:val="000000"/>
          <w:sz w:val="21"/>
          <w:szCs w:val="21"/>
        </w:rPr>
        <w:t xml:space="preserve">Confirm each of the following exists at &lt;Institution Name&gt; and correct the title before adoption. Remove any that do not apply.</w:t>
      </w:r>
    </w:p>
    <w:p>
      <w:pPr>
        <w:pStyle w:val="ListParagraph"/>
        <w:numPr>
          <w:ilvl w:val="0"/>
          <w:numId w:val="2"/>
        </w:numPr>
        <w:spacing w:after="70" w:line="276"/>
      </w:pPr>
      <w:r>
        <w:rPr>
          <w:rFonts w:ascii="Calibri" w:cs="Calibri" w:eastAsia="Calibri" w:hAnsi="Calibri"/>
          <w:color w:val="000000"/>
          <w:sz w:val="21"/>
          <w:szCs w:val="21"/>
        </w:rPr>
        <w:t xml:space="preserve">Information Technology Acceptable Use Policy</w:t>
      </w:r>
    </w:p>
    <w:p>
      <w:pPr>
        <w:pStyle w:val="ListParagraph"/>
        <w:numPr>
          <w:ilvl w:val="0"/>
          <w:numId w:val="2"/>
        </w:numPr>
        <w:spacing w:after="70" w:line="276"/>
      </w:pPr>
      <w:r>
        <w:rPr>
          <w:rFonts w:ascii="Calibri" w:cs="Calibri" w:eastAsia="Calibri" w:hAnsi="Calibri"/>
          <w:color w:val="000000"/>
          <w:sz w:val="21"/>
          <w:szCs w:val="21"/>
        </w:rPr>
        <w:t xml:space="preserve">Data Classification Policy and Data Protection Standard</w:t>
      </w:r>
    </w:p>
    <w:p>
      <w:pPr>
        <w:pStyle w:val="ListParagraph"/>
        <w:numPr>
          <w:ilvl w:val="0"/>
          <w:numId w:val="2"/>
        </w:numPr>
        <w:spacing w:after="70" w:line="276"/>
      </w:pPr>
      <w:r>
        <w:rPr>
          <w:rFonts w:ascii="Calibri" w:cs="Calibri" w:eastAsia="Calibri" w:hAnsi="Calibri"/>
          <w:color w:val="000000"/>
          <w:sz w:val="21"/>
          <w:szCs w:val="21"/>
        </w:rPr>
        <w:t xml:space="preserve">Student Records / FERPA Policy and Annual FERPA Notification</w:t>
      </w:r>
    </w:p>
    <w:p>
      <w:pPr>
        <w:pStyle w:val="ListParagraph"/>
        <w:numPr>
          <w:ilvl w:val="0"/>
          <w:numId w:val="2"/>
        </w:numPr>
        <w:spacing w:after="70" w:line="276"/>
      </w:pPr>
      <w:r>
        <w:rPr>
          <w:rFonts w:ascii="Calibri" w:cs="Calibri" w:eastAsia="Calibri" w:hAnsi="Calibri"/>
          <w:color w:val="000000"/>
          <w:sz w:val="21"/>
          <w:szCs w:val="21"/>
        </w:rPr>
        <w:t xml:space="preserve">Academic Integrity Policy</w:t>
      </w:r>
    </w:p>
    <w:p>
      <w:pPr>
        <w:pStyle w:val="ListParagraph"/>
        <w:numPr>
          <w:ilvl w:val="0"/>
          <w:numId w:val="2"/>
        </w:numPr>
        <w:spacing w:after="70" w:line="276"/>
      </w:pPr>
      <w:r>
        <w:rPr>
          <w:rFonts w:ascii="Calibri" w:cs="Calibri" w:eastAsia="Calibri" w:hAnsi="Calibri"/>
          <w:color w:val="000000"/>
          <w:sz w:val="21"/>
          <w:szCs w:val="21"/>
        </w:rPr>
        <w:t xml:space="preserve">Research Data Management, Human Subjects (IRB), and Research Integrity Policies</w:t>
      </w:r>
    </w:p>
    <w:p>
      <w:pPr>
        <w:pStyle w:val="ListParagraph"/>
        <w:numPr>
          <w:ilvl w:val="0"/>
          <w:numId w:val="2"/>
        </w:numPr>
        <w:spacing w:after="70" w:line="276"/>
      </w:pPr>
      <w:r>
        <w:rPr>
          <w:rFonts w:ascii="Calibri" w:cs="Calibri" w:eastAsia="Calibri" w:hAnsi="Calibri"/>
          <w:color w:val="000000"/>
          <w:sz w:val="21"/>
          <w:szCs w:val="21"/>
        </w:rPr>
        <w:t xml:space="preserve">Export Control Policy</w:t>
      </w:r>
    </w:p>
    <w:p>
      <w:pPr>
        <w:pStyle w:val="ListParagraph"/>
        <w:numPr>
          <w:ilvl w:val="0"/>
          <w:numId w:val="2"/>
        </w:numPr>
        <w:spacing w:after="70" w:line="276"/>
      </w:pPr>
      <w:r>
        <w:rPr>
          <w:rFonts w:ascii="Calibri" w:cs="Calibri" w:eastAsia="Calibri" w:hAnsi="Calibri"/>
          <w:color w:val="000000"/>
          <w:sz w:val="21"/>
          <w:szCs w:val="21"/>
        </w:rPr>
        <w:t xml:space="preserve">Procurement, Contracting, and Signature Authority Policies</w:t>
      </w:r>
    </w:p>
    <w:p>
      <w:pPr>
        <w:pStyle w:val="ListParagraph"/>
        <w:numPr>
          <w:ilvl w:val="0"/>
          <w:numId w:val="2"/>
        </w:numPr>
        <w:spacing w:after="70" w:line="276"/>
      </w:pPr>
      <w:r>
        <w:rPr>
          <w:rFonts w:ascii="Calibri" w:cs="Calibri" w:eastAsia="Calibri" w:hAnsi="Calibri"/>
          <w:color w:val="000000"/>
          <w:sz w:val="21"/>
          <w:szCs w:val="21"/>
        </w:rPr>
        <w:t xml:space="preserve">Information Security Incident Response Plan</w:t>
      </w:r>
    </w:p>
    <w:p>
      <w:pPr>
        <w:pStyle w:val="ListParagraph"/>
        <w:numPr>
          <w:ilvl w:val="0"/>
          <w:numId w:val="2"/>
        </w:numPr>
        <w:spacing w:after="70" w:line="276"/>
      </w:pPr>
      <w:r>
        <w:rPr>
          <w:rFonts w:ascii="Calibri" w:cs="Calibri" w:eastAsia="Calibri" w:hAnsi="Calibri"/>
          <w:color w:val="000000"/>
          <w:sz w:val="21"/>
          <w:szCs w:val="21"/>
        </w:rPr>
        <w:t xml:space="preserve">Records Retention Schedule and Public Records Procedure</w:t>
      </w:r>
    </w:p>
    <w:p>
      <w:pPr>
        <w:pStyle w:val="ListParagraph"/>
        <w:numPr>
          <w:ilvl w:val="0"/>
          <w:numId w:val="2"/>
        </w:numPr>
        <w:spacing w:after="70" w:line="276"/>
      </w:pPr>
      <w:r>
        <w:rPr>
          <w:rFonts w:ascii="Calibri" w:cs="Calibri" w:eastAsia="Calibri" w:hAnsi="Calibri"/>
          <w:color w:val="000000"/>
          <w:sz w:val="21"/>
          <w:szCs w:val="21"/>
        </w:rPr>
        <w:t xml:space="preserve">Digital Accessibility Policy</w:t>
      </w:r>
    </w:p>
    <w:p>
      <w:pPr>
        <w:pStyle w:val="ListParagraph"/>
        <w:numPr>
          <w:ilvl w:val="0"/>
          <w:numId w:val="2"/>
        </w:numPr>
        <w:spacing w:after="70" w:line="276"/>
      </w:pPr>
      <w:r>
        <w:rPr>
          <w:rFonts w:ascii="Calibri" w:cs="Calibri" w:eastAsia="Calibri" w:hAnsi="Calibri"/>
          <w:color w:val="000000"/>
          <w:sz w:val="21"/>
          <w:szCs w:val="21"/>
        </w:rPr>
        <w:t xml:space="preserve">Nondiscrimination and Anti-Harassment Policy</w:t>
      </w:r>
    </w:p>
    <w:p>
      <w:pPr>
        <w:pStyle w:val="ListParagraph"/>
        <w:numPr>
          <w:ilvl w:val="0"/>
          <w:numId w:val="2"/>
        </w:numPr>
        <w:spacing w:after="70" w:line="276"/>
      </w:pPr>
      <w:r>
        <w:rPr>
          <w:rFonts w:ascii="Calibri" w:cs="Calibri" w:eastAsia="Calibri" w:hAnsi="Calibri"/>
          <w:color w:val="000000"/>
          <w:sz w:val="21"/>
          <w:szCs w:val="21"/>
        </w:rPr>
        <w:t xml:space="preserve">Minimum Access, Password, and Audit / Monitoring Policies</w:t>
      </w:r>
    </w:p>
    <w:p>
      <w:pPr>
        <w:pStyle w:val="Heading3"/>
        <w:spacing w:after="70" w:before="160"/>
      </w:pPr>
      <w:r>
        <w:rPr>
          <w:rFonts w:ascii="Calibri" w:cs="Calibri" w:eastAsia="Calibri" w:hAnsi="Calibri"/>
          <w:b/>
          <w:bCs/>
          <w:i/>
          <w:iCs/>
          <w:color w:val="000000"/>
          <w:sz w:val="21"/>
          <w:szCs w:val="21"/>
        </w:rPr>
        <w:t xml:space="preserve">External frameworks referenced</w:t>
      </w:r>
    </w:p>
    <w:p>
      <w:pPr>
        <w:pStyle w:val="ListParagraph"/>
        <w:numPr>
          <w:ilvl w:val="0"/>
          <w:numId w:val="2"/>
        </w:numPr>
        <w:spacing w:after="70" w:line="276"/>
      </w:pPr>
      <w:r>
        <w:rPr>
          <w:rFonts w:ascii="Calibri" w:cs="Calibri" w:eastAsia="Calibri" w:hAnsi="Calibri"/>
          <w:color w:val="000000"/>
          <w:sz w:val="21"/>
          <w:szCs w:val="21"/>
        </w:rPr>
        <w:t xml:space="preserve">NIST Cybersecurity Framework 2.0</w:t>
      </w:r>
    </w:p>
    <w:p>
      <w:pPr>
        <w:pStyle w:val="ListParagraph"/>
        <w:numPr>
          <w:ilvl w:val="0"/>
          <w:numId w:val="2"/>
        </w:numPr>
        <w:spacing w:after="70" w:line="276"/>
      </w:pPr>
      <w:r>
        <w:rPr>
          <w:rFonts w:ascii="Calibri" w:cs="Calibri" w:eastAsia="Calibri" w:hAnsi="Calibri"/>
          <w:color w:val="000000"/>
          <w:sz w:val="21"/>
          <w:szCs w:val="21"/>
        </w:rPr>
        <w:t xml:space="preserve">NIST AI Risk Management Framework (AI 100-1) and Generative AI Profile (AI 600-1)</w:t>
      </w:r>
    </w:p>
    <w:p>
      <w:pPr>
        <w:pStyle w:val="ListParagraph"/>
        <w:numPr>
          <w:ilvl w:val="0"/>
          <w:numId w:val="2"/>
        </w:numPr>
        <w:spacing w:after="70" w:line="276"/>
      </w:pPr>
      <w:r>
        <w:rPr>
          <w:rFonts w:ascii="Calibri" w:cs="Calibri" w:eastAsia="Calibri" w:hAnsi="Calibri"/>
          <w:color w:val="000000"/>
          <w:sz w:val="21"/>
          <w:szCs w:val="21"/>
        </w:rPr>
        <w:t xml:space="preserve">ISO/IEC 42001: AI management systems</w:t>
      </w:r>
    </w:p>
    <w:p>
      <w:pPr>
        <w:pStyle w:val="ListParagraph"/>
        <w:numPr>
          <w:ilvl w:val="0"/>
          <w:numId w:val="2"/>
        </w:numPr>
        <w:spacing w:after="70" w:line="276"/>
      </w:pPr>
      <w:r>
        <w:rPr>
          <w:rFonts w:ascii="Calibri" w:cs="Calibri" w:eastAsia="Calibri" w:hAnsi="Calibri"/>
          <w:color w:val="000000"/>
          <w:sz w:val="21"/>
          <w:szCs w:val="21"/>
        </w:rPr>
        <w:t xml:space="preserve">OWASP GenAI Security Project: Top 10 for LLM Applications and Top 10 for Agentic Applications</w:t>
      </w:r>
    </w:p>
    <w:p>
      <w:pPr>
        <w:pStyle w:val="ListParagraph"/>
        <w:numPr>
          <w:ilvl w:val="0"/>
          <w:numId w:val="2"/>
        </w:numPr>
        <w:spacing w:after="70" w:line="276"/>
      </w:pPr>
      <w:r>
        <w:rPr>
          <w:rFonts w:ascii="Calibri" w:cs="Calibri" w:eastAsia="Calibri" w:hAnsi="Calibri"/>
          <w:color w:val="000000"/>
          <w:sz w:val="21"/>
          <w:szCs w:val="21"/>
        </w:rPr>
        <w:t xml:space="preserve">34 CFR Part 99 (FERPA), including 99.31(a)(1)(i)(B) and 99.33(a)</w:t>
      </w:r>
    </w:p>
    <w:p>
      <w:pPr>
        <w:pStyle w:val="ListParagraph"/>
        <w:numPr>
          <w:ilvl w:val="0"/>
          <w:numId w:val="2"/>
        </w:numPr>
        <w:spacing w:after="70" w:line="276"/>
      </w:pPr>
      <w:r>
        <w:rPr>
          <w:rFonts w:ascii="Calibri" w:cs="Calibri" w:eastAsia="Calibri" w:hAnsi="Calibri"/>
          <w:color w:val="000000"/>
          <w:sz w:val="21"/>
          <w:szCs w:val="21"/>
        </w:rPr>
        <w:t xml:space="preserve">U.S. Department of Education Privacy Technical Assistance Center guidance on AI and automated decision-making</w:t>
      </w:r>
    </w:p>
    <w:p>
      <w:pPr>
        <w:pStyle w:val="ListParagraph"/>
        <w:numPr>
          <w:ilvl w:val="0"/>
          <w:numId w:val="2"/>
        </w:numPr>
        <w:spacing w:after="70" w:line="276"/>
      </w:pPr>
      <w:r>
        <w:rPr>
          <w:rFonts w:ascii="Calibri" w:cs="Calibri" w:eastAsia="Calibri" w:hAnsi="Calibri"/>
          <w:color w:val="000000"/>
          <w:sz w:val="21"/>
          <w:szCs w:val="21"/>
        </w:rPr>
        <w:t xml:space="preserve">Section 508 and WCAG 2.1 Level AA</w:t>
      </w:r>
    </w:p>
    <w:p>
      <w:pPr>
        <w:pStyle w:val="Heading1"/>
        <w:pBdr>
          <w:bottom w:val="single" w:color="BFBFBF" w:sz="6" w:space="4"/>
        </w:pBdr>
        <w:spacing w:after="140" w:before="320"/>
      </w:pPr>
      <w:r>
        <w:rPr>
          <w:rFonts w:ascii="Calibri" w:cs="Calibri" w:eastAsia="Calibri" w:hAnsi="Calibri"/>
          <w:b/>
          <w:bCs/>
          <w:color w:val="000000"/>
          <w:sz w:val="28"/>
          <w:szCs w:val="28"/>
        </w:rPr>
        <w:t xml:space="preserve">9. Definitions and Terms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600"/>
        <w:gridCol w:w="6500"/>
      </w:tblGrid>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Agentic AI</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An AI system that plans and executes multi-step tasks, invokes tools or other systems, and takes actions with limited or no human approval between steps.</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Amber data</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Data in the AMBER tier of Section 4.2; non-public, unregulated institutional information permitted only in an Approved AI Tool.</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Approved AI Tool</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An AI tool listed on the institution's Approved AI Tool List, used in the configuration and account type under which it was approved, for data at or below its approved tier.</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Consequential decision</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 determination that materially affects an individual's rights, status, opportunities, or access to institutional services or benefits, as enumerated in Section 4.7.</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Education record</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 record directly related to a student and maintained by the institution or by a party acting for the institution, as defined at 20 U.S.C. 1232g(a)(4)(A) and 34 CFR 99.3.</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Embedded AI</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AI capability delivered as a feature inside a platform the institution already licenses, rather than as a separate tool.</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Generative AI</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An AI system that produces new content, such as text, code, images, audio, or video, in response to a prompt.</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Green data</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Data in the GREEN tier of Section 4.2; information already public or approved for public release.</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Institutional data</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Any data created, collected, processed, or maintained by or on behalf of the institution in the conduct of its operations, teaching, or research, regardless of the medium or the account in which it resides.</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Model training</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Use of submitted data to build, fine-tune, or improve an AI model, whether by the institution or by a provider.</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Personally identifiable information (PII)</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Information that alone or in combination could reasonably identify an individual, including information that would allow identification with reasonable certainty by someone in the school community.</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Prompt injection</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An attack in which instructions hidden in content an AI system reads, such as an email, a document, a web page, or a discussion post, are treated by that system as commands.</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Restricted data</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Data in the RED tier of Section 4.2.</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School official designation</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The written contractual arrangement under 34 CFR 99.31(a)(1)(i)(B) by which a third party may receive PII from education records without individual consent.</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Shadow AI</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AI tools or AI-enabled features used for institutional work without review or approval under this policy.</w:t>
            </w:r>
          </w:p>
        </w:tc>
      </w:tr>
      <w:tr>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Synthetic media</w:t>
            </w:r>
          </w:p>
        </w:tc>
        <w:tc>
          <w:tcPr>
            <w:tcW w:type="dxa" w:w="65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Audio, video, or imagery generated or materially altered by AI to depict events or persons, including material depicting a real, identifiable individual.</w:t>
            </w:r>
          </w:p>
        </w:tc>
      </w:tr>
    </w:tbl>
    <w:p>
      <w:pPr>
        <w:spacing w:after="120"/>
      </w:pPr>
    </w:p>
    <w:p>
      <w:pPr>
        <w:pStyle w:val="Heading1"/>
        <w:pBdr>
          <w:bottom w:val="single" w:color="BFBFBF" w:sz="6" w:space="4"/>
        </w:pBdr>
        <w:spacing w:after="140" w:before="320"/>
      </w:pPr>
      <w:r>
        <w:rPr>
          <w:rFonts w:ascii="Calibri" w:cs="Calibri" w:eastAsia="Calibri" w:hAnsi="Calibri"/>
          <w:b/>
          <w:bCs/>
          <w:color w:val="000000"/>
          <w:sz w:val="28"/>
          <w:szCs w:val="28"/>
        </w:rPr>
        <w:t xml:space="preserve">10. Revision History</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1600"/>
        <w:gridCol w:w="2600"/>
        <w:gridCol w:w="4900"/>
      </w:tblGrid>
      <w:tr>
        <w:trPr>
          <w:tblHeader/>
        </w:trPr>
        <w:tc>
          <w:tcPr>
            <w:tcW w:type="dxa" w:w="1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Date of Change</w:t>
            </w:r>
          </w:p>
        </w:tc>
        <w:tc>
          <w:tcPr>
            <w:tcW w:type="dxa" w:w="26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Responsible</w:t>
            </w:r>
          </w:p>
        </w:tc>
        <w:tc>
          <w:tcPr>
            <w:tcW w:type="dxa" w:w="4900"/>
            <w:tcBorders>
              <w:top w:val="single" w:color="A6A6A6" w:sz="4"/>
              <w:left w:val="single" w:color="A6A6A6" w:sz="4"/>
              <w:bottom w:val="single" w:color="A6A6A6" w:sz="4"/>
              <w:right w:val="single" w:color="A6A6A6" w:sz="4"/>
            </w:tcBorders>
            <w:shd w:fill="F2F2F2" w:color="auto" w:val="clear"/>
            <w:tcMar>
              <w:top w:type="dxa" w:w="80"/>
              <w:left w:type="dxa" w:w="110"/>
              <w:bottom w:type="dxa" w:w="80"/>
              <w:right w:type="dxa" w:w="110"/>
            </w:tcMar>
          </w:tcPr>
          <w:p>
            <w:pPr>
              <w:spacing w:after="0" w:line="264"/>
            </w:pPr>
            <w:r>
              <w:rPr>
                <w:rFonts w:ascii="Calibri" w:cs="Calibri" w:eastAsia="Calibri" w:hAnsi="Calibri"/>
                <w:b/>
                <w:bCs/>
                <w:color w:val="000000"/>
                <w:sz w:val="19"/>
                <w:szCs w:val="19"/>
              </w:rPr>
              <w:t xml:space="preserve">Summary of Change</w:t>
            </w:r>
          </w:p>
        </w:tc>
      </w:tr>
      <w:tr>
        <w:tc>
          <w:tcPr>
            <w:tcW w:type="dxa" w:w="16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&lt;Date&gt;</w:t>
            </w:r>
          </w:p>
        </w:tc>
        <w:tc>
          <w:tcPr>
            <w:tcW w:type="dxa" w:w="26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&lt;AI Governance Owner&gt;</w:t>
            </w:r>
          </w:p>
        </w:tc>
        <w:tc>
          <w:tcPr>
            <w:tcW w:type="dxa" w:w="4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Initial issue. Artificial Intelligence Acceptable Use Policy established.</w:t>
            </w:r>
          </w:p>
        </w:tc>
      </w:tr>
      <w:tr>
        <w:tc>
          <w:tcPr>
            <w:tcW w:type="dxa" w:w="16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 </w:t>
            </w:r>
          </w:p>
        </w:tc>
        <w:tc>
          <w:tcPr>
            <w:tcW w:type="dxa" w:w="26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 </w:t>
            </w:r>
          </w:p>
        </w:tc>
        <w:tc>
          <w:tcPr>
            <w:tcW w:type="dxa" w:w="4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 </w:t>
            </w:r>
          </w:p>
        </w:tc>
      </w:tr>
      <w:tr>
        <w:tc>
          <w:tcPr>
            <w:tcW w:type="dxa" w:w="16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 </w:t>
            </w:r>
          </w:p>
        </w:tc>
        <w:tc>
          <w:tcPr>
            <w:tcW w:type="dxa" w:w="26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 </w:t>
            </w:r>
          </w:p>
        </w:tc>
        <w:tc>
          <w:tcPr>
            <w:tcW w:type="dxa" w:w="4900"/>
            <w:tcBorders>
              <w:top w:val="single" w:color="A6A6A6" w:sz="4"/>
              <w:left w:val="single" w:color="A6A6A6" w:sz="4"/>
              <w:bottom w:val="single" w:color="A6A6A6" w:sz="4"/>
              <w:right w:val="single" w:color="A6A6A6" w:sz="4"/>
            </w:tcBorders>
            <w:tcMar>
              <w:top w:type="dxa" w:w="80"/>
              <w:left w:type="dxa" w:w="110"/>
              <w:bottom w:type="dxa" w:w="80"/>
              <w:right w:type="dxa" w:w="110"/>
            </w:tcMar>
          </w:tcPr>
          <w:p>
            <w:pPr>
              <w:spacing w:after="0" w:line="264"/>
            </w:pPr>
            <w:r>
              <w:rPr>
                <w:rFonts w:ascii="Calibri" w:cs="Calibri" w:eastAsia="Calibri" w:hAnsi="Calibri"/>
                <w:color w:val="000000"/>
                <w:sz w:val="19"/>
                <w:szCs w:val="19"/>
              </w:rPr>
              <w:t xml:space="preserve"> </w:t>
            </w:r>
          </w:p>
        </w:tc>
      </w:tr>
    </w:tbl>
    <w:p>
      <w:pPr>
        <w:keepNext/>
        <w:pageBreakBefore/>
        <w:pBdr>
          <w:top w:val="single" w:sz="6" w:space="6" w:color="0FBDD2"/>
        </w:pBdr>
        <w:spacing w:before="200" w:after="40"/>
        <w:jc w:val="center"/>
      </w:pPr>
      <w:r>
        <w:rPr>
          <w:rFonts w:ascii="Calibri" w:cs="Calibri" w:eastAsia="Calibri" w:hAnsi="Calibri"/>
          <w:b/>
          <w:bCs/>
          <w:color w:val="000C1A"/>
          <w:sz w:val="20"/>
          <w:szCs w:val="20"/>
        </w:rPr>
        <w:t xml:space="preserve">About this template</w:t>
      </w:r>
    </w:p>
    <w:p>
      <w:pPr>
        <w:spacing w:before="0" w:after="120"/>
        <w:jc w:val="center"/>
      </w:pPr>
      <w:r>
        <w:rPr>
          <w:rFonts w:ascii="Calibri" w:cs="Calibri" w:eastAsia="Calibri" w:hAnsi="Calibri"/>
          <w:color w:val="000000"/>
          <w:sz w:val="18"/>
          <w:szCs w:val="18"/>
        </w:rPr>
        <w:t xml:space="preserve">This AI Acceptable Use Policy template was prepared by CyReauX, a vendor-neutral cybersecurity and AI governance advisory firm. CyReauX does not implement or resell AI tools; the template reflects governance judgment, not a product recommendation. It is provided for adaptation by the adopting institution and does not constitute legal advice.</w:t>
      </w:r>
    </w:p>
    <w:p>
      <w:pPr>
        <w:spacing w:before="0" w:after="160"/>
        <w:jc w:val="center"/>
      </w:pPr>
      <w:r>
        <w:rPr>
          <w:rFonts w:ascii="Calibri" w:cs="Calibri" w:eastAsia="Calibri" w:hAnsi="Calibri"/>
          <w:color w:val="000000"/>
          <w:sz w:val="18"/>
          <w:szCs w:val="18"/>
        </w:rPr>
        <w:t xml:space="preserve">Questions or adaptation support: </w:t>
      </w:r>
      <w:r>
        <w:rPr>
          <w:rFonts w:ascii="Calibri" w:cs="Calibri" w:eastAsia="Calibri" w:hAnsi="Calibri"/>
          <w:b/>
          <w:bCs/>
          <w:color w:val="0FBDD2"/>
          <w:sz w:val="18"/>
          <w:szCs w:val="18"/>
        </w:rPr>
        <w:t xml:space="preserve">cyberadvisor@cyreaux.com</w:t>
      </w:r>
    </w:p>
    <w:p>
      <w:pPr>
        <w:spacing w:before="0" w:after="0"/>
        <w:jc w:val="center"/>
      </w:pPr>
      <w:r>
        <w:rPr>
          <w:rFonts w:ascii="Montserrat" w:cs="Montserrat" w:eastAsia="Montserrat" w:hAnsi="Montserrat"/>
          <w:b/>
          <w:bCs/>
          <w:color w:val="E91E8C"/>
          <w:sz w:val="24"/>
          <w:szCs w:val="24"/>
        </w:rPr>
        <w:t xml:space="preserve">OutSmart The Breach</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Page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color w:val="808080"/>
        <w:sz w:val="16"/>
        <w:szCs w:val="16"/>
      </w:rPr>
      <w:t xml:space="preserve"> of </w:t>
    </w:r>
    <w:r>
      <w:rPr>
        <w:rFonts w:ascii="Calibri" w:cs="Calibri" w:eastAsia="Calibri" w:hAnsi="Calibri"/>
        <w:color w:val="808080"/>
        <w:sz w:val="16"/>
        <w:szCs w:val="16"/>
      </w:rPr>
      <w:fldChar w:fldCharType="begin"/>
      <w:instrText xml:space="preserve">NUMPAGES</w:instrText>
      <w:fldChar w:fldCharType="separate"/>
      <w:fldChar w:fldCharType="end"/>
    </w:r>
  </w:p>
  <w:p>
    <w:pPr>
      <w:spacing w:before="0" w:after="0"/>
      <w:jc w:val="center"/>
    </w:pPr>
    <w:r>
      <w:rPr>
        <w:rFonts w:ascii="Calibri" w:cs="Calibri" w:eastAsia="Calibri" w:hAnsi="Calibri"/>
        <w:color w:val="808080"/>
        <w:sz w:val="16"/>
        <w:szCs w:val="16"/>
      </w:rPr>
      <w:t xml:space="preserve">Template prepared by CyReauX  |  cyberadvisor@cyreaux.com  |  </w:t>
    </w:r>
    <w:r>
      <w:rPr>
        <w:rFonts w:ascii="Montserrat" w:cs="Montserrat" w:eastAsia="Montserrat" w:hAnsi="Montserrat"/>
        <w:b/>
        <w:bCs/>
        <w:color w:val="E91E8C"/>
        <w:sz w:val="16"/>
        <w:szCs w:val="16"/>
      </w:rPr>
      <w:t xml:space="preserve">OutSmart The Breach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40" w:lineRule="aut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v:shape id="CyReauXWatermark" o:spid="_x0000_s2049" type="#_x0000_t136" style="position:absolute;margin-left:0;margin-top:0;width:430pt;height:105pt;rotation:315;z-index:-251658752;mso-position-horizontal:center;mso-position-horizontal-relative:margin;mso-position-vertical:center;mso-position-vertical-relative:margin" o:allowincell="f" fillcolor="#066678" stroked="f">
          <v:fill opacity=".16"/>
          <v:textpath style="font-family:&quot;Calibri&quot;;font-weight:bold;v-text-spacing:78650f;v-text-kern:t" trim="t" fitpath="t" string="CYREAUX"/>
        </v:shape>
      </w:pict>
    </w:r>
  </w:p>
  <w:p>
    <w:pPr>
      <w:spacing w:after="60"/>
      <w:jc w:val="right"/>
    </w:pPr>
    <w:r>
      <w:rPr>
        <w:rFonts w:ascii="Calibri" w:cs="Calibri" w:eastAsia="Calibri" w:hAnsi="Calibri"/>
        <w:color w:val="808080"/>
        <w:sz w:val="16"/>
        <w:szCs w:val="16"/>
      </w:rPr>
      <w:t xml:space="preserve">Artificial Intelligence Acceptable Use Policy  |  &lt;Institution Name&gt;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30"/>
      </w:pPr>
    </w:lvl>
    <w:lvl w:ilvl="1" w15:tentative="1">
      <w:start w:val="1"/>
      <w:numFmt w:val="bullet"/>
      <w:lvlText w:val="◦"/>
      <w:lvlJc w:val="left"/>
      <w:pPr>
        <w:ind w:left="920" w:hanging="230"/>
      </w:pPr>
    </w:lvl>
  </w:abstractNum>
  <w:abstractNum w:abstractNumId="3" w15:restartNumberingAfterBreak="0">
    <w:multiLevelType w:val="hybridMultilevel"/>
    <w:lvl w:ilvl="0" w15:tentative="1">
      <w:start w:val="1"/>
      <w:numFmt w:val="decimal"/>
      <w:lvlText w:val="%1."/>
      <w:lvlJc w:val="start"/>
      <w:pPr>
        <w:ind w:left="460" w:hanging="360"/>
      </w:pPr>
    </w:lvl>
  </w:abstractNum>
  <w:abstractNum w:abstractNumId="4" w15:restartNumberingAfterBreak="0">
    <w:multiLevelType w:val="hybridMultilevel"/>
    <w:lvl w:ilvl="0" w15:tentative="1">
      <w:start w:val="1"/>
      <w:numFmt w:val="lowerLetter"/>
      <w:lvlText w:val="(%1)"/>
      <w:lvlJc w:val="start"/>
      <w:pPr>
        <w:ind w:left="460" w:hanging="360"/>
      </w:pPr>
    </w:lvl>
  </w:abstractNum>
  <w:abstractNum w:abstractNumId="5" w15:restartNumberingAfterBreak="0">
    <w:multiLevelType w:val="hybridMultilevel"/>
    <w:lvl w:ilvl="0" w15:tentative="1">
      <w:start w:val="1"/>
      <w:numFmt w:val="decimal"/>
      <w:lvlText w:val="%1."/>
      <w:lvlJc w:val="start"/>
      <w:pPr>
        <w:ind w:left="46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Acceptable Use Policy</dc:title>
  <dc:creator>CyReauX</dc:creator>
  <dc:description>Model AI Acceptable Use Policy for higher education institutions</dc:description>
  <cp:lastModifiedBy>Un-named</cp:lastModifiedBy>
  <cp:revision>1</cp:revision>
  <dcterms:created xsi:type="dcterms:W3CDTF">2026-09-03T04:35:25.543Z</dcterms:created>
  <dcterms:modified xsi:type="dcterms:W3CDTF">2026-09-03T04:35:25.555Z</dcterms:modified>
</cp:coreProperties>
</file>

<file path=docProps/custom.xml><?xml version="1.0" encoding="utf-8"?>
<Properties xmlns="http://schemas.openxmlformats.org/officeDocument/2006/custom-properties" xmlns:vt="http://schemas.openxmlformats.org/officeDocument/2006/docPropsVTypes"/>
</file>